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0D" w:rsidRPr="00337D77" w:rsidRDefault="0012010D" w:rsidP="00EC3F47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337D77">
        <w:rPr>
          <w:sz w:val="28"/>
          <w:szCs w:val="28"/>
          <w:lang w:val="ru-RU"/>
        </w:rPr>
        <w:t>МИНИСТЕРСТВО ЗДРАВООХРАНЕНИЯ РОССИЙСКОЙ ФЕДЕРАЦИИ</w:t>
      </w:r>
    </w:p>
    <w:p w:rsidR="0012010D" w:rsidRPr="00337D77" w:rsidRDefault="0012010D" w:rsidP="00EC3F47">
      <w:pPr>
        <w:jc w:val="center"/>
        <w:rPr>
          <w:sz w:val="28"/>
          <w:szCs w:val="28"/>
          <w:lang w:val="ru-RU"/>
        </w:rPr>
      </w:pPr>
    </w:p>
    <w:p w:rsidR="00EC3F47" w:rsidRPr="00337D77" w:rsidRDefault="00EC3F47" w:rsidP="00EC3F47">
      <w:pPr>
        <w:jc w:val="center"/>
        <w:rPr>
          <w:sz w:val="28"/>
          <w:szCs w:val="28"/>
          <w:lang w:val="ru-RU"/>
        </w:rPr>
      </w:pPr>
    </w:p>
    <w:p w:rsidR="0012010D" w:rsidRPr="00337D77" w:rsidRDefault="002C3BC0" w:rsidP="00EC3F47">
      <w:pPr>
        <w:jc w:val="center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ИНСТРУКЦИЯ</w:t>
      </w:r>
    </w:p>
    <w:p w:rsidR="0012010D" w:rsidRPr="00337D77" w:rsidRDefault="006C79B5" w:rsidP="00EC3F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="002C3BC0" w:rsidRPr="00337D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медицинскому </w:t>
      </w:r>
      <w:r w:rsidRPr="00337D77">
        <w:rPr>
          <w:sz w:val="28"/>
          <w:szCs w:val="28"/>
          <w:lang w:val="ru-RU"/>
        </w:rPr>
        <w:t xml:space="preserve">применению лекарственного препарата </w:t>
      </w:r>
    </w:p>
    <w:p w:rsidR="00EC3F47" w:rsidRPr="00337D77" w:rsidRDefault="00EC3F47" w:rsidP="00EC3F47">
      <w:pPr>
        <w:jc w:val="center"/>
        <w:rPr>
          <w:sz w:val="28"/>
          <w:szCs w:val="28"/>
          <w:lang w:val="ru-RU"/>
        </w:rPr>
      </w:pPr>
    </w:p>
    <w:p w:rsidR="0012010D" w:rsidRPr="00337D77" w:rsidRDefault="00DF7A41" w:rsidP="00EC3F47">
      <w:pPr>
        <w:jc w:val="center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ВЕССЕЛ ДУЭ Ф</w:t>
      </w:r>
    </w:p>
    <w:p w:rsidR="0012010D" w:rsidRPr="00337D77" w:rsidRDefault="0012010D" w:rsidP="00EC3F47">
      <w:pPr>
        <w:jc w:val="center"/>
        <w:rPr>
          <w:sz w:val="28"/>
          <w:szCs w:val="28"/>
          <w:lang w:val="ru-RU"/>
        </w:rPr>
      </w:pPr>
    </w:p>
    <w:p w:rsidR="0012010D" w:rsidRPr="00E15CF4" w:rsidRDefault="0012010D" w:rsidP="00EC3F47">
      <w:pPr>
        <w:spacing w:line="360" w:lineRule="auto"/>
        <w:jc w:val="both"/>
        <w:rPr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Регистрационный номер</w:t>
      </w:r>
      <w:r w:rsidRPr="00E15CF4">
        <w:rPr>
          <w:b/>
          <w:sz w:val="28"/>
          <w:szCs w:val="28"/>
          <w:lang w:val="ru-RU"/>
        </w:rPr>
        <w:t>:</w:t>
      </w:r>
      <w:r w:rsidR="00E15CF4" w:rsidRPr="00E15CF4">
        <w:rPr>
          <w:sz w:val="28"/>
          <w:szCs w:val="28"/>
          <w:lang w:val="ru-RU"/>
        </w:rPr>
        <w:t xml:space="preserve"> П N012490/01</w:t>
      </w:r>
    </w:p>
    <w:p w:rsidR="0012010D" w:rsidRPr="00337D77" w:rsidRDefault="0012010D" w:rsidP="00EC3F47">
      <w:pPr>
        <w:spacing w:line="360" w:lineRule="auto"/>
        <w:jc w:val="both"/>
        <w:rPr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Торговое наименование:</w:t>
      </w:r>
      <w:r w:rsidRPr="00337D77">
        <w:rPr>
          <w:sz w:val="28"/>
          <w:szCs w:val="28"/>
          <w:lang w:val="ru-RU"/>
        </w:rPr>
        <w:t xml:space="preserve"> </w:t>
      </w:r>
      <w:r w:rsidR="00DF7A41" w:rsidRPr="00337D77">
        <w:rPr>
          <w:sz w:val="28"/>
          <w:szCs w:val="28"/>
          <w:lang w:val="ru-RU"/>
        </w:rPr>
        <w:t>Вессел Дуэ Ф</w:t>
      </w:r>
    </w:p>
    <w:p w:rsidR="0012010D" w:rsidRPr="00337D77" w:rsidRDefault="0012010D" w:rsidP="00EC3F47">
      <w:pPr>
        <w:spacing w:line="360" w:lineRule="auto"/>
        <w:jc w:val="both"/>
        <w:rPr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Международное непатентованное наименование:</w:t>
      </w:r>
      <w:r w:rsidRPr="00337D77">
        <w:rPr>
          <w:sz w:val="28"/>
          <w:szCs w:val="28"/>
          <w:lang w:val="ru-RU"/>
        </w:rPr>
        <w:t xml:space="preserve"> </w:t>
      </w:r>
      <w:r w:rsidR="00DF7A41" w:rsidRPr="00337D77">
        <w:rPr>
          <w:sz w:val="28"/>
          <w:szCs w:val="28"/>
          <w:lang w:val="ru-RU"/>
        </w:rPr>
        <w:t>сулодексид</w:t>
      </w:r>
    </w:p>
    <w:p w:rsidR="0012010D" w:rsidRPr="00337D77" w:rsidRDefault="0012010D" w:rsidP="00EC3F47">
      <w:pPr>
        <w:spacing w:line="360" w:lineRule="auto"/>
        <w:jc w:val="both"/>
        <w:rPr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Лекарственная форма:</w:t>
      </w:r>
      <w:r w:rsidRPr="00337D77">
        <w:rPr>
          <w:sz w:val="28"/>
          <w:szCs w:val="28"/>
          <w:lang w:val="ru-RU"/>
        </w:rPr>
        <w:t xml:space="preserve"> </w:t>
      </w:r>
      <w:r w:rsidR="00744C35" w:rsidRPr="00337D77">
        <w:rPr>
          <w:color w:val="000000"/>
          <w:spacing w:val="5"/>
          <w:sz w:val="28"/>
          <w:szCs w:val="28"/>
          <w:lang w:val="ru-RU"/>
        </w:rPr>
        <w:t>капсулы</w:t>
      </w:r>
    </w:p>
    <w:p w:rsidR="00EC3F47" w:rsidRPr="00337D77" w:rsidRDefault="00EC3F47" w:rsidP="00EC3F47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Состав</w:t>
      </w:r>
    </w:p>
    <w:p w:rsidR="00EE700D" w:rsidRPr="00337D7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337D77">
        <w:rPr>
          <w:rFonts w:ascii="Times New Roman" w:hAnsi="Times New Roman"/>
          <w:b w:val="0"/>
          <w:sz w:val="28"/>
          <w:szCs w:val="28"/>
        </w:rPr>
        <w:t xml:space="preserve">Каждая </w:t>
      </w:r>
      <w:r w:rsidR="000A3BBC">
        <w:rPr>
          <w:rFonts w:ascii="Times New Roman" w:hAnsi="Times New Roman"/>
          <w:b w:val="0"/>
          <w:sz w:val="28"/>
          <w:szCs w:val="28"/>
        </w:rPr>
        <w:t>капсула</w:t>
      </w:r>
      <w:r w:rsidRPr="00337D77">
        <w:rPr>
          <w:rFonts w:ascii="Times New Roman" w:hAnsi="Times New Roman"/>
          <w:b w:val="0"/>
          <w:sz w:val="28"/>
          <w:szCs w:val="28"/>
        </w:rPr>
        <w:t xml:space="preserve"> содержит: </w:t>
      </w:r>
    </w:p>
    <w:p w:rsidR="00EE700D" w:rsidRPr="00337D77" w:rsidRDefault="00C654ED" w:rsidP="00EC3F47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Действующее</w:t>
      </w:r>
      <w:r w:rsidR="00EE700D" w:rsidRPr="00337D77">
        <w:rPr>
          <w:i/>
          <w:sz w:val="28"/>
          <w:szCs w:val="28"/>
          <w:lang w:val="ru-RU"/>
        </w:rPr>
        <w:t xml:space="preserve"> вещество:</w:t>
      </w:r>
      <w:r w:rsidR="00EE700D" w:rsidRPr="00337D77">
        <w:rPr>
          <w:sz w:val="28"/>
          <w:szCs w:val="28"/>
          <w:lang w:val="ru-RU"/>
        </w:rPr>
        <w:t xml:space="preserve"> </w:t>
      </w:r>
      <w:r w:rsidR="00DF7A41" w:rsidRPr="00337D77">
        <w:rPr>
          <w:sz w:val="28"/>
          <w:szCs w:val="28"/>
          <w:lang w:val="ru-RU"/>
        </w:rPr>
        <w:t>с</w:t>
      </w:r>
      <w:r w:rsidR="00EE700D" w:rsidRPr="00337D77">
        <w:rPr>
          <w:sz w:val="28"/>
          <w:szCs w:val="28"/>
          <w:lang w:val="ru-RU"/>
        </w:rPr>
        <w:t xml:space="preserve">улодексид </w:t>
      </w:r>
      <w:r w:rsidR="000A3BBC">
        <w:rPr>
          <w:sz w:val="28"/>
          <w:szCs w:val="28"/>
          <w:lang w:val="ru-RU"/>
        </w:rPr>
        <w:t>250</w:t>
      </w:r>
      <w:r w:rsidR="00EE700D" w:rsidRPr="00337D77">
        <w:rPr>
          <w:sz w:val="28"/>
          <w:szCs w:val="28"/>
          <w:lang w:val="ru-RU"/>
        </w:rPr>
        <w:t xml:space="preserve"> ЛЕ</w:t>
      </w:r>
      <w:r w:rsidR="00DF7A41" w:rsidRPr="00337D77">
        <w:rPr>
          <w:b/>
          <w:sz w:val="28"/>
          <w:szCs w:val="28"/>
          <w:lang w:val="ru-RU"/>
        </w:rPr>
        <w:t>*</w:t>
      </w:r>
    </w:p>
    <w:p w:rsidR="00EE700D" w:rsidRPr="00337D77" w:rsidRDefault="00DF7A41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337D77">
        <w:rPr>
          <w:rFonts w:ascii="Times New Roman" w:hAnsi="Times New Roman"/>
          <w:b w:val="0"/>
          <w:i/>
          <w:sz w:val="28"/>
          <w:szCs w:val="28"/>
        </w:rPr>
        <w:t>Вспомогательные</w:t>
      </w:r>
      <w:r w:rsidR="00EE700D" w:rsidRPr="00337D77">
        <w:rPr>
          <w:rFonts w:ascii="Times New Roman" w:hAnsi="Times New Roman"/>
          <w:b w:val="0"/>
          <w:i/>
          <w:sz w:val="28"/>
          <w:szCs w:val="28"/>
        </w:rPr>
        <w:t xml:space="preserve"> вещества:</w:t>
      </w:r>
      <w:r w:rsidR="00EE700D" w:rsidRPr="00337D7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A3BBC">
        <w:rPr>
          <w:rFonts w:ascii="Times New Roman" w:hAnsi="Times New Roman"/>
          <w:b w:val="0"/>
          <w:sz w:val="28"/>
          <w:szCs w:val="28"/>
        </w:rPr>
        <w:t>лаурилсаркозинат</w:t>
      </w:r>
      <w:proofErr w:type="spellEnd"/>
      <w:r w:rsidR="00EE700D" w:rsidRPr="00337D77">
        <w:rPr>
          <w:rFonts w:ascii="Times New Roman" w:hAnsi="Times New Roman"/>
          <w:b w:val="0"/>
          <w:sz w:val="28"/>
          <w:szCs w:val="28"/>
        </w:rPr>
        <w:t xml:space="preserve"> натрия</w:t>
      </w:r>
      <w:r w:rsidRPr="00337D77">
        <w:rPr>
          <w:rFonts w:ascii="Times New Roman" w:hAnsi="Times New Roman"/>
          <w:b w:val="0"/>
          <w:sz w:val="28"/>
          <w:szCs w:val="28"/>
        </w:rPr>
        <w:t xml:space="preserve"> </w:t>
      </w:r>
      <w:r w:rsidR="000A3BBC">
        <w:rPr>
          <w:rFonts w:ascii="Times New Roman" w:hAnsi="Times New Roman"/>
          <w:b w:val="0"/>
          <w:sz w:val="28"/>
          <w:szCs w:val="28"/>
        </w:rPr>
        <w:t>3,30</w:t>
      </w:r>
      <w:r w:rsidRPr="00337D77">
        <w:rPr>
          <w:rFonts w:ascii="Times New Roman" w:hAnsi="Times New Roman"/>
          <w:b w:val="0"/>
          <w:sz w:val="28"/>
          <w:szCs w:val="28"/>
        </w:rPr>
        <w:t xml:space="preserve"> мг</w:t>
      </w:r>
      <w:r w:rsidR="00EE700D" w:rsidRPr="00337D77">
        <w:rPr>
          <w:rFonts w:ascii="Times New Roman" w:hAnsi="Times New Roman"/>
          <w:b w:val="0"/>
          <w:sz w:val="28"/>
          <w:szCs w:val="28"/>
        </w:rPr>
        <w:t xml:space="preserve">, </w:t>
      </w:r>
      <w:r w:rsidR="000A3BBC">
        <w:rPr>
          <w:rFonts w:ascii="Times New Roman" w:hAnsi="Times New Roman"/>
          <w:b w:val="0"/>
          <w:sz w:val="28"/>
          <w:szCs w:val="28"/>
        </w:rPr>
        <w:t>кремния диоксид коллоидный 2,00 мг</w:t>
      </w:r>
      <w:r w:rsidR="006C79B5">
        <w:rPr>
          <w:rFonts w:ascii="Times New Roman" w:hAnsi="Times New Roman"/>
          <w:b w:val="0"/>
          <w:sz w:val="28"/>
          <w:szCs w:val="28"/>
        </w:rPr>
        <w:t>,</w:t>
      </w:r>
      <w:r w:rsidR="006C79B5" w:rsidRPr="006C79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C79B5">
        <w:rPr>
          <w:rFonts w:ascii="Times New Roman" w:hAnsi="Times New Roman"/>
          <w:b w:val="0"/>
          <w:sz w:val="28"/>
          <w:szCs w:val="28"/>
        </w:rPr>
        <w:t>триацетин</w:t>
      </w:r>
      <w:proofErr w:type="spellEnd"/>
      <w:r w:rsidR="006C79B5">
        <w:rPr>
          <w:rFonts w:ascii="Times New Roman" w:hAnsi="Times New Roman"/>
          <w:b w:val="0"/>
          <w:sz w:val="28"/>
          <w:szCs w:val="28"/>
        </w:rPr>
        <w:t xml:space="preserve"> 83,87 мг</w:t>
      </w:r>
      <w:r w:rsidR="00C654ED">
        <w:rPr>
          <w:rFonts w:ascii="Times New Roman" w:hAnsi="Times New Roman"/>
          <w:b w:val="0"/>
          <w:sz w:val="28"/>
          <w:szCs w:val="28"/>
        </w:rPr>
        <w:t xml:space="preserve">. </w:t>
      </w:r>
      <w:r w:rsidR="00C654ED" w:rsidRPr="00C654ED">
        <w:rPr>
          <w:rFonts w:ascii="Times New Roman" w:hAnsi="Times New Roman"/>
          <w:b w:val="0"/>
          <w:i/>
          <w:sz w:val="28"/>
          <w:szCs w:val="28"/>
        </w:rPr>
        <w:t>Компоненты оболочки капсулы:</w:t>
      </w:r>
      <w:r w:rsidR="000A3BBC">
        <w:rPr>
          <w:rFonts w:ascii="Times New Roman" w:hAnsi="Times New Roman"/>
          <w:b w:val="0"/>
          <w:sz w:val="28"/>
          <w:szCs w:val="28"/>
        </w:rPr>
        <w:t xml:space="preserve"> желатин 53,15 мг, </w:t>
      </w:r>
      <w:proofErr w:type="spellStart"/>
      <w:r w:rsidR="000A3BBC">
        <w:rPr>
          <w:rFonts w:ascii="Times New Roman" w:hAnsi="Times New Roman"/>
          <w:b w:val="0"/>
          <w:sz w:val="28"/>
          <w:szCs w:val="28"/>
        </w:rPr>
        <w:t>глицерол</w:t>
      </w:r>
      <w:proofErr w:type="spellEnd"/>
      <w:r w:rsidR="000A3BBC">
        <w:rPr>
          <w:rFonts w:ascii="Times New Roman" w:hAnsi="Times New Roman"/>
          <w:b w:val="0"/>
          <w:sz w:val="28"/>
          <w:szCs w:val="28"/>
        </w:rPr>
        <w:t xml:space="preserve"> 22,07 мг, этилпарагидроксибензоат натрия 0,26 мг, пропилпарагидроксибензоат натрия 0,13 мг, титана диоксид (Е171) 0,29 мг, железа оксид красный (Е172) 0,86 мг.</w:t>
      </w:r>
    </w:p>
    <w:p w:rsidR="00EE700D" w:rsidRPr="00337D77" w:rsidRDefault="00DF7A41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337D77">
        <w:rPr>
          <w:rFonts w:ascii="Times New Roman" w:hAnsi="Times New Roman"/>
          <w:b w:val="0"/>
          <w:sz w:val="28"/>
          <w:szCs w:val="28"/>
        </w:rPr>
        <w:t xml:space="preserve">* </w:t>
      </w:r>
      <w:r w:rsidRPr="00337D77">
        <w:rPr>
          <w:b w:val="0"/>
          <w:sz w:val="28"/>
          <w:szCs w:val="28"/>
        </w:rPr>
        <w:t>–</w:t>
      </w:r>
      <w:r w:rsidR="00EE700D" w:rsidRPr="00337D77">
        <w:rPr>
          <w:rFonts w:ascii="Times New Roman" w:hAnsi="Times New Roman"/>
          <w:b w:val="0"/>
          <w:sz w:val="28"/>
          <w:szCs w:val="28"/>
        </w:rPr>
        <w:t xml:space="preserve"> липопротеинлипазная единица</w:t>
      </w:r>
    </w:p>
    <w:p w:rsidR="00EE700D" w:rsidRPr="00337D77" w:rsidRDefault="00EE700D" w:rsidP="00EC3F47">
      <w:pPr>
        <w:tabs>
          <w:tab w:val="center" w:pos="1080"/>
          <w:tab w:val="left" w:pos="4111"/>
        </w:tabs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tabs>
          <w:tab w:val="center" w:pos="1080"/>
        </w:tabs>
        <w:jc w:val="both"/>
        <w:rPr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Описание</w:t>
      </w:r>
      <w:r w:rsidRPr="00337D77">
        <w:rPr>
          <w:spacing w:val="-3"/>
          <w:sz w:val="28"/>
          <w:szCs w:val="28"/>
          <w:lang w:val="ru-RU"/>
        </w:rPr>
        <w:t xml:space="preserve"> </w:t>
      </w:r>
    </w:p>
    <w:p w:rsidR="00EE700D" w:rsidRPr="00337D77" w:rsidRDefault="00C654E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C654ED">
        <w:rPr>
          <w:rFonts w:ascii="Times New Roman" w:hAnsi="Times New Roman"/>
          <w:b w:val="0"/>
          <w:sz w:val="28"/>
          <w:szCs w:val="28"/>
        </w:rPr>
        <w:t>Овальные мягкие желатиновые капсулы кирпично-красного цвета, содержащие суспензию бело-серого цвета. Допускается розоватый или розовато-кремовый оттенок содержимого капсул.</w:t>
      </w:r>
    </w:p>
    <w:p w:rsidR="00EE700D" w:rsidRPr="00337D7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</w:p>
    <w:p w:rsidR="00DF7A41" w:rsidRPr="00337D7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Фармакотерапевтическая группа</w:t>
      </w:r>
    </w:p>
    <w:p w:rsidR="00EE700D" w:rsidRPr="00337D77" w:rsidRDefault="008D02C2" w:rsidP="00EC3F47">
      <w:pPr>
        <w:shd w:val="clear" w:color="auto" w:fill="FFFFFF"/>
        <w:ind w:right="38"/>
        <w:jc w:val="both"/>
        <w:rPr>
          <w:color w:val="000000"/>
          <w:spacing w:val="-2"/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Антикоагулянты – гепарин и его производные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</w:p>
    <w:p w:rsidR="00DF7A41" w:rsidRPr="00337D7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Код АТХ</w:t>
      </w:r>
    </w:p>
    <w:p w:rsidR="00EE700D" w:rsidRPr="00337D77" w:rsidRDefault="00EE700D" w:rsidP="00EC3F47">
      <w:pPr>
        <w:shd w:val="clear" w:color="auto" w:fill="FFFFFF"/>
        <w:ind w:right="38"/>
        <w:jc w:val="both"/>
        <w:rPr>
          <w:color w:val="000000"/>
          <w:spacing w:val="-2"/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B01AB11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Фармакологические свойства</w:t>
      </w:r>
    </w:p>
    <w:p w:rsidR="00CF6621" w:rsidRPr="00337D77" w:rsidRDefault="00EE700D" w:rsidP="00EC3F47">
      <w:pPr>
        <w:jc w:val="both"/>
        <w:rPr>
          <w:rFonts w:eastAsia="Calibri"/>
          <w:szCs w:val="24"/>
          <w:lang w:val="ru-RU" w:eastAsia="en-US"/>
        </w:rPr>
      </w:pPr>
      <w:r w:rsidRPr="00337D77">
        <w:rPr>
          <w:sz w:val="28"/>
          <w:szCs w:val="28"/>
          <w:lang w:val="ru-RU"/>
        </w:rPr>
        <w:t xml:space="preserve">Вессел Дуэ Ф (сулодексид) является </w:t>
      </w:r>
      <w:r w:rsidR="00CF6621" w:rsidRPr="00337D77">
        <w:rPr>
          <w:sz w:val="28"/>
          <w:szCs w:val="28"/>
          <w:lang w:val="ru-RU"/>
        </w:rPr>
        <w:t>биологическим</w:t>
      </w:r>
      <w:r w:rsidRPr="00337D77">
        <w:rPr>
          <w:sz w:val="28"/>
          <w:szCs w:val="28"/>
          <w:lang w:val="ru-RU"/>
        </w:rPr>
        <w:t xml:space="preserve"> </w:t>
      </w:r>
      <w:r w:rsidR="00CF6621" w:rsidRPr="00337D77">
        <w:rPr>
          <w:sz w:val="28"/>
          <w:szCs w:val="28"/>
          <w:lang w:val="ru-RU"/>
        </w:rPr>
        <w:t>лекарственным препаратом</w:t>
      </w:r>
      <w:r w:rsidRPr="00337D77">
        <w:rPr>
          <w:sz w:val="28"/>
          <w:szCs w:val="28"/>
          <w:lang w:val="ru-RU"/>
        </w:rPr>
        <w:t xml:space="preserve">, </w:t>
      </w:r>
      <w:r w:rsidR="00CF6621" w:rsidRPr="00337D77">
        <w:rPr>
          <w:sz w:val="28"/>
          <w:szCs w:val="28"/>
          <w:lang w:val="ru-RU"/>
        </w:rPr>
        <w:t>п</w:t>
      </w:r>
      <w:r w:rsidRPr="00337D77">
        <w:rPr>
          <w:sz w:val="28"/>
          <w:szCs w:val="28"/>
          <w:lang w:val="ru-RU"/>
        </w:rPr>
        <w:t>редставл</w:t>
      </w:r>
      <w:r w:rsidR="00CF6621" w:rsidRPr="00337D77">
        <w:rPr>
          <w:sz w:val="28"/>
          <w:szCs w:val="28"/>
          <w:lang w:val="ru-RU"/>
        </w:rPr>
        <w:t>яющим</w:t>
      </w:r>
      <w:r w:rsidRPr="00337D77">
        <w:rPr>
          <w:sz w:val="28"/>
          <w:szCs w:val="28"/>
          <w:lang w:val="ru-RU"/>
        </w:rPr>
        <w:t xml:space="preserve"> собой естественную смесь гликозаминогликанов (ГАГ): </w:t>
      </w:r>
      <w:proofErr w:type="spellStart"/>
      <w:r w:rsidRPr="00337D77">
        <w:rPr>
          <w:sz w:val="28"/>
          <w:szCs w:val="28"/>
          <w:lang w:val="ru-RU"/>
        </w:rPr>
        <w:t>гепариноподобной</w:t>
      </w:r>
      <w:proofErr w:type="spellEnd"/>
      <w:r w:rsidRPr="00337D77">
        <w:rPr>
          <w:sz w:val="28"/>
          <w:szCs w:val="28"/>
          <w:lang w:val="ru-RU"/>
        </w:rPr>
        <w:t xml:space="preserve"> фракции с молекулярной</w:t>
      </w:r>
      <w:r w:rsidR="00787D89" w:rsidRPr="00337D77">
        <w:rPr>
          <w:sz w:val="28"/>
          <w:szCs w:val="28"/>
          <w:lang w:val="ru-RU"/>
        </w:rPr>
        <w:t xml:space="preserve"> массой 8000 дальтон (80 %) и </w:t>
      </w:r>
      <w:proofErr w:type="spellStart"/>
      <w:r w:rsidRPr="00337D77">
        <w:rPr>
          <w:sz w:val="28"/>
          <w:szCs w:val="28"/>
          <w:lang w:val="ru-RU"/>
        </w:rPr>
        <w:t>дерматансульфата</w:t>
      </w:r>
      <w:proofErr w:type="spellEnd"/>
      <w:r w:rsidRPr="00337D77">
        <w:rPr>
          <w:sz w:val="28"/>
          <w:szCs w:val="28"/>
          <w:lang w:val="ru-RU"/>
        </w:rPr>
        <w:t xml:space="preserve"> (20</w:t>
      </w:r>
      <w:r w:rsidR="00787D89" w:rsidRPr="00337D77">
        <w:rPr>
          <w:sz w:val="28"/>
          <w:szCs w:val="28"/>
          <w:lang w:val="ru-RU"/>
        </w:rPr>
        <w:t xml:space="preserve"> </w:t>
      </w:r>
      <w:r w:rsidRPr="00337D77">
        <w:rPr>
          <w:sz w:val="28"/>
          <w:szCs w:val="28"/>
          <w:lang w:val="ru-RU"/>
        </w:rPr>
        <w:t>%).</w:t>
      </w:r>
      <w:r w:rsidR="00CF6621" w:rsidRPr="00337D77">
        <w:rPr>
          <w:rFonts w:eastAsia="Calibri"/>
          <w:i/>
          <w:szCs w:val="24"/>
          <w:lang w:val="ru-RU" w:eastAsia="en-US"/>
        </w:rPr>
        <w:t xml:space="preserve"> 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 xml:space="preserve">Механизм действия сулодексида обусловлен двумя основными свойствами: 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lastRenderedPageBreak/>
        <w:t xml:space="preserve">быстродействующая </w:t>
      </w:r>
      <w:proofErr w:type="spellStart"/>
      <w:r w:rsidRPr="00337D77">
        <w:rPr>
          <w:sz w:val="28"/>
          <w:szCs w:val="28"/>
          <w:lang w:val="ru-RU"/>
        </w:rPr>
        <w:t>гепариноподобная</w:t>
      </w:r>
      <w:proofErr w:type="spellEnd"/>
      <w:r w:rsidRPr="00337D77">
        <w:rPr>
          <w:sz w:val="28"/>
          <w:szCs w:val="28"/>
          <w:lang w:val="ru-RU"/>
        </w:rPr>
        <w:t xml:space="preserve"> фракция обладает сродством к антитромбину III (АТIII), а </w:t>
      </w:r>
      <w:proofErr w:type="spellStart"/>
      <w:r w:rsidRPr="00337D77">
        <w:rPr>
          <w:sz w:val="28"/>
          <w:szCs w:val="28"/>
          <w:lang w:val="ru-RU"/>
        </w:rPr>
        <w:t>дерматановая</w:t>
      </w:r>
      <w:proofErr w:type="spellEnd"/>
      <w:r w:rsidRPr="00337D77">
        <w:rPr>
          <w:sz w:val="28"/>
          <w:szCs w:val="28"/>
          <w:lang w:val="ru-RU"/>
        </w:rPr>
        <w:t xml:space="preserve"> </w:t>
      </w:r>
      <w:r w:rsidR="00CF6621" w:rsidRPr="00337D77">
        <w:rPr>
          <w:sz w:val="28"/>
          <w:szCs w:val="28"/>
          <w:lang w:val="ru-RU"/>
        </w:rPr>
        <w:t>–</w:t>
      </w:r>
      <w:r w:rsidRPr="00337D77">
        <w:rPr>
          <w:sz w:val="28"/>
          <w:szCs w:val="28"/>
          <w:lang w:val="ru-RU"/>
        </w:rPr>
        <w:t xml:space="preserve"> к</w:t>
      </w:r>
      <w:r w:rsidR="00CF6621" w:rsidRPr="00337D77">
        <w:rPr>
          <w:sz w:val="28"/>
          <w:szCs w:val="28"/>
          <w:lang w:val="ru-RU"/>
        </w:rPr>
        <w:t xml:space="preserve"> </w:t>
      </w:r>
      <w:r w:rsidRPr="00337D77">
        <w:rPr>
          <w:sz w:val="28"/>
          <w:szCs w:val="28"/>
          <w:lang w:val="ru-RU"/>
        </w:rPr>
        <w:t xml:space="preserve">кофактору II </w:t>
      </w:r>
      <w:r w:rsidRPr="004313A5">
        <w:rPr>
          <w:sz w:val="28"/>
          <w:szCs w:val="28"/>
          <w:lang w:val="ru-RU"/>
        </w:rPr>
        <w:t>гепарина (КГII).</w:t>
      </w:r>
      <w:r w:rsidR="00866F39" w:rsidRPr="004313A5">
        <w:rPr>
          <w:sz w:val="28"/>
          <w:szCs w:val="28"/>
          <w:lang w:val="ru-RU"/>
        </w:rPr>
        <w:t xml:space="preserve"> После перорального применения </w:t>
      </w:r>
      <w:r w:rsidR="004313A5" w:rsidRPr="004313A5">
        <w:rPr>
          <w:sz w:val="28"/>
          <w:szCs w:val="28"/>
          <w:lang w:val="ru-RU"/>
        </w:rPr>
        <w:t xml:space="preserve">в рекомендованной дозировке </w:t>
      </w:r>
      <w:r w:rsidR="00866F39" w:rsidRPr="004313A5">
        <w:rPr>
          <w:sz w:val="28"/>
          <w:szCs w:val="28"/>
          <w:lang w:val="ru-RU"/>
        </w:rPr>
        <w:t xml:space="preserve">количество </w:t>
      </w:r>
      <w:r w:rsidR="00D97228" w:rsidRPr="004313A5">
        <w:rPr>
          <w:sz w:val="28"/>
          <w:szCs w:val="28"/>
          <w:lang w:val="ru-RU"/>
        </w:rPr>
        <w:t>сулодексида</w:t>
      </w:r>
      <w:r w:rsidR="00866F39" w:rsidRPr="004313A5">
        <w:rPr>
          <w:sz w:val="28"/>
          <w:szCs w:val="28"/>
          <w:lang w:val="ru-RU"/>
        </w:rPr>
        <w:t xml:space="preserve"> и </w:t>
      </w:r>
      <w:r w:rsidR="00D97228" w:rsidRPr="004313A5">
        <w:rPr>
          <w:sz w:val="28"/>
          <w:szCs w:val="28"/>
          <w:lang w:val="ru-RU"/>
        </w:rPr>
        <w:t xml:space="preserve">его </w:t>
      </w:r>
      <w:r w:rsidR="00866F39" w:rsidRPr="004313A5">
        <w:rPr>
          <w:sz w:val="28"/>
          <w:szCs w:val="28"/>
          <w:lang w:val="ru-RU"/>
        </w:rPr>
        <w:t xml:space="preserve">производных </w:t>
      </w:r>
      <w:r w:rsidR="00BE41FF" w:rsidRPr="004313A5">
        <w:rPr>
          <w:sz w:val="28"/>
          <w:szCs w:val="28"/>
          <w:lang w:val="ru-RU"/>
        </w:rPr>
        <w:t>после</w:t>
      </w:r>
      <w:r w:rsidR="00866F39" w:rsidRPr="004313A5">
        <w:rPr>
          <w:sz w:val="28"/>
          <w:szCs w:val="28"/>
          <w:lang w:val="ru-RU"/>
        </w:rPr>
        <w:t xml:space="preserve"> </w:t>
      </w:r>
      <w:r w:rsidR="00BE41FF" w:rsidRPr="004313A5">
        <w:rPr>
          <w:sz w:val="28"/>
          <w:szCs w:val="28"/>
          <w:lang w:val="ru-RU"/>
        </w:rPr>
        <w:t xml:space="preserve">эффекта </w:t>
      </w:r>
      <w:r w:rsidR="00866F39" w:rsidRPr="004313A5">
        <w:rPr>
          <w:sz w:val="28"/>
          <w:szCs w:val="28"/>
          <w:lang w:val="ru-RU"/>
        </w:rPr>
        <w:t>первого прохо</w:t>
      </w:r>
      <w:r w:rsidR="00BE41FF" w:rsidRPr="004313A5">
        <w:rPr>
          <w:sz w:val="28"/>
          <w:szCs w:val="28"/>
          <w:lang w:val="ru-RU"/>
        </w:rPr>
        <w:t xml:space="preserve">ждения достаточно для </w:t>
      </w:r>
      <w:proofErr w:type="spellStart"/>
      <w:r w:rsidR="00BE41FF" w:rsidRPr="004313A5">
        <w:rPr>
          <w:sz w:val="28"/>
          <w:szCs w:val="28"/>
          <w:lang w:val="ru-RU"/>
        </w:rPr>
        <w:t>индуцирования</w:t>
      </w:r>
      <w:proofErr w:type="spellEnd"/>
      <w:r w:rsidR="00866F39" w:rsidRPr="004313A5">
        <w:rPr>
          <w:sz w:val="28"/>
          <w:szCs w:val="28"/>
          <w:lang w:val="ru-RU"/>
        </w:rPr>
        <w:t xml:space="preserve"> </w:t>
      </w:r>
      <w:proofErr w:type="spellStart"/>
      <w:r w:rsidR="00866F39" w:rsidRPr="004313A5">
        <w:rPr>
          <w:sz w:val="28"/>
          <w:szCs w:val="28"/>
          <w:lang w:val="ru-RU"/>
        </w:rPr>
        <w:t>антитромбин</w:t>
      </w:r>
      <w:r w:rsidR="00BE41FF" w:rsidRPr="004313A5">
        <w:rPr>
          <w:sz w:val="28"/>
          <w:szCs w:val="28"/>
          <w:lang w:val="ru-RU"/>
        </w:rPr>
        <w:t>ового</w:t>
      </w:r>
      <w:proofErr w:type="spellEnd"/>
      <w:r w:rsidR="00BE41FF" w:rsidRPr="004313A5">
        <w:rPr>
          <w:sz w:val="28"/>
          <w:szCs w:val="28"/>
          <w:lang w:val="ru-RU"/>
        </w:rPr>
        <w:t xml:space="preserve"> действия без влияния на обычные парамет</w:t>
      </w:r>
      <w:r w:rsidR="004150F0" w:rsidRPr="004313A5">
        <w:rPr>
          <w:sz w:val="28"/>
          <w:szCs w:val="28"/>
          <w:lang w:val="ru-RU"/>
        </w:rPr>
        <w:t>р</w:t>
      </w:r>
      <w:r w:rsidR="00BE41FF" w:rsidRPr="004313A5">
        <w:rPr>
          <w:sz w:val="28"/>
          <w:szCs w:val="28"/>
          <w:lang w:val="ru-RU"/>
        </w:rPr>
        <w:t>ы коагуляции</w:t>
      </w:r>
      <w:r w:rsidR="00866F39" w:rsidRPr="004313A5">
        <w:rPr>
          <w:sz w:val="28"/>
          <w:szCs w:val="28"/>
          <w:lang w:val="ru-RU"/>
        </w:rPr>
        <w:t xml:space="preserve"> (</w:t>
      </w:r>
      <w:r w:rsidR="004313A5">
        <w:rPr>
          <w:sz w:val="28"/>
          <w:szCs w:val="28"/>
          <w:lang w:val="ru-RU"/>
        </w:rPr>
        <w:t>а</w:t>
      </w:r>
      <w:r w:rsidR="004313A5" w:rsidRPr="004313A5">
        <w:rPr>
          <w:sz w:val="28"/>
          <w:szCs w:val="28"/>
          <w:lang w:val="ru-RU"/>
        </w:rPr>
        <w:t>ктивированное частичное тромбопластиновое время (</w:t>
      </w:r>
      <w:r w:rsidR="00866F39" w:rsidRPr="004313A5">
        <w:rPr>
          <w:sz w:val="28"/>
          <w:szCs w:val="28"/>
          <w:lang w:val="ru-RU"/>
        </w:rPr>
        <w:t>АЧТВ</w:t>
      </w:r>
      <w:r w:rsidR="004313A5" w:rsidRPr="004313A5">
        <w:rPr>
          <w:sz w:val="28"/>
          <w:szCs w:val="28"/>
          <w:lang w:val="ru-RU"/>
        </w:rPr>
        <w:t>)</w:t>
      </w:r>
      <w:r w:rsidR="00866F39" w:rsidRPr="004313A5">
        <w:rPr>
          <w:sz w:val="28"/>
          <w:szCs w:val="28"/>
          <w:lang w:val="ru-RU"/>
        </w:rPr>
        <w:t xml:space="preserve">, </w:t>
      </w:r>
      <w:proofErr w:type="spellStart"/>
      <w:r w:rsidR="004313A5" w:rsidRPr="004313A5">
        <w:rPr>
          <w:sz w:val="28"/>
          <w:szCs w:val="28"/>
          <w:lang w:val="ru-RU"/>
        </w:rPr>
        <w:t>тромбиновое</w:t>
      </w:r>
      <w:proofErr w:type="spellEnd"/>
      <w:r w:rsidR="004313A5" w:rsidRPr="004313A5">
        <w:rPr>
          <w:sz w:val="28"/>
          <w:szCs w:val="28"/>
          <w:lang w:val="ru-RU"/>
        </w:rPr>
        <w:t xml:space="preserve"> время</w:t>
      </w:r>
      <w:r w:rsidR="00866F39" w:rsidRPr="004313A5">
        <w:rPr>
          <w:sz w:val="28"/>
          <w:szCs w:val="28"/>
          <w:lang w:val="ru-RU"/>
        </w:rPr>
        <w:t xml:space="preserve">, активированный </w:t>
      </w:r>
      <w:r w:rsidR="004313A5" w:rsidRPr="004313A5">
        <w:rPr>
          <w:sz w:val="28"/>
          <w:szCs w:val="28"/>
          <w:lang w:val="ru-RU"/>
        </w:rPr>
        <w:t xml:space="preserve">фактор </w:t>
      </w:r>
      <w:r w:rsidR="00866F39" w:rsidRPr="004313A5">
        <w:rPr>
          <w:sz w:val="28"/>
          <w:szCs w:val="28"/>
          <w:lang w:val="ru-RU"/>
        </w:rPr>
        <w:t>X). Таким образом</w:t>
      </w:r>
      <w:r w:rsidR="00D97228" w:rsidRPr="004313A5">
        <w:rPr>
          <w:sz w:val="28"/>
          <w:szCs w:val="28"/>
          <w:lang w:val="ru-RU"/>
        </w:rPr>
        <w:t>,</w:t>
      </w:r>
      <w:r w:rsidR="00866F39" w:rsidRPr="004313A5">
        <w:rPr>
          <w:sz w:val="28"/>
          <w:szCs w:val="28"/>
          <w:lang w:val="ru-RU"/>
        </w:rPr>
        <w:t xml:space="preserve"> можно предположить, что </w:t>
      </w:r>
      <w:r w:rsidR="00BE41FF" w:rsidRPr="004313A5">
        <w:rPr>
          <w:sz w:val="28"/>
          <w:szCs w:val="28"/>
          <w:lang w:val="ru-RU"/>
        </w:rPr>
        <w:t>сулодексид при пероральном применен</w:t>
      </w:r>
      <w:r w:rsidR="00D97228" w:rsidRPr="004313A5">
        <w:rPr>
          <w:sz w:val="28"/>
          <w:szCs w:val="28"/>
          <w:lang w:val="ru-RU"/>
        </w:rPr>
        <w:t>и</w:t>
      </w:r>
      <w:r w:rsidR="00BE41FF" w:rsidRPr="004313A5">
        <w:rPr>
          <w:sz w:val="28"/>
          <w:szCs w:val="28"/>
          <w:lang w:val="ru-RU"/>
        </w:rPr>
        <w:t>и не име</w:t>
      </w:r>
      <w:r w:rsidR="00D97228" w:rsidRPr="004313A5">
        <w:rPr>
          <w:sz w:val="28"/>
          <w:szCs w:val="28"/>
          <w:lang w:val="ru-RU"/>
        </w:rPr>
        <w:t>е</w:t>
      </w:r>
      <w:r w:rsidR="00BE41FF" w:rsidRPr="004313A5">
        <w:rPr>
          <w:sz w:val="28"/>
          <w:szCs w:val="28"/>
          <w:lang w:val="ru-RU"/>
        </w:rPr>
        <w:t xml:space="preserve">т </w:t>
      </w:r>
      <w:proofErr w:type="spellStart"/>
      <w:r w:rsidR="00BE41FF" w:rsidRPr="004313A5">
        <w:rPr>
          <w:sz w:val="28"/>
          <w:szCs w:val="28"/>
          <w:lang w:val="ru-RU"/>
        </w:rPr>
        <w:t>антикоагуляцио</w:t>
      </w:r>
      <w:r w:rsidR="00D97228" w:rsidRPr="004313A5">
        <w:rPr>
          <w:sz w:val="28"/>
          <w:szCs w:val="28"/>
          <w:lang w:val="ru-RU"/>
        </w:rPr>
        <w:t>н</w:t>
      </w:r>
      <w:r w:rsidR="00BE41FF" w:rsidRPr="004313A5">
        <w:rPr>
          <w:sz w:val="28"/>
          <w:szCs w:val="28"/>
          <w:lang w:val="ru-RU"/>
        </w:rPr>
        <w:t>ного</w:t>
      </w:r>
      <w:proofErr w:type="spellEnd"/>
      <w:r w:rsidR="00BE41FF" w:rsidRPr="004313A5">
        <w:rPr>
          <w:sz w:val="28"/>
          <w:szCs w:val="28"/>
          <w:lang w:val="ru-RU"/>
        </w:rPr>
        <w:t xml:space="preserve"> действия</w:t>
      </w:r>
      <w:r w:rsidR="00866F39" w:rsidRPr="004313A5">
        <w:rPr>
          <w:sz w:val="28"/>
          <w:szCs w:val="28"/>
          <w:lang w:val="ru-RU"/>
        </w:rPr>
        <w:t>.</w:t>
      </w:r>
    </w:p>
    <w:p w:rsidR="00EE700D" w:rsidRDefault="00EE700D" w:rsidP="00EC3F47">
      <w:pPr>
        <w:shd w:val="clear" w:color="auto" w:fill="FFFFFF"/>
        <w:ind w:right="38"/>
        <w:jc w:val="both"/>
        <w:rPr>
          <w:sz w:val="28"/>
          <w:szCs w:val="28"/>
          <w:lang w:val="ru-RU"/>
        </w:rPr>
      </w:pPr>
      <w:r w:rsidRPr="00337D77">
        <w:rPr>
          <w:b/>
          <w:i/>
          <w:sz w:val="28"/>
          <w:szCs w:val="28"/>
          <w:lang w:val="ru-RU"/>
        </w:rPr>
        <w:t>Фармакологическое действие</w:t>
      </w:r>
      <w:r w:rsidRPr="00337D77">
        <w:rPr>
          <w:b/>
          <w:sz w:val="28"/>
          <w:szCs w:val="28"/>
          <w:lang w:val="ru-RU"/>
        </w:rPr>
        <w:t xml:space="preserve">: </w:t>
      </w:r>
      <w:r w:rsidR="00CF6621" w:rsidRPr="00337D77">
        <w:rPr>
          <w:sz w:val="28"/>
          <w:szCs w:val="28"/>
          <w:lang w:val="ru-RU"/>
        </w:rPr>
        <w:t xml:space="preserve">ангиопротекторное, профибринолитическое, </w:t>
      </w:r>
      <w:proofErr w:type="spellStart"/>
      <w:r w:rsidR="00D97228" w:rsidRPr="00337D77">
        <w:rPr>
          <w:sz w:val="28"/>
          <w:szCs w:val="28"/>
          <w:lang w:val="ru-RU"/>
        </w:rPr>
        <w:t>антитромботическое</w:t>
      </w:r>
      <w:proofErr w:type="spellEnd"/>
      <w:r w:rsidR="006B269C" w:rsidRPr="00337D77">
        <w:rPr>
          <w:sz w:val="28"/>
          <w:szCs w:val="28"/>
          <w:lang w:val="ru-RU"/>
        </w:rPr>
        <w:t>.</w:t>
      </w:r>
    </w:p>
    <w:p w:rsidR="00EE700D" w:rsidRPr="00337D77" w:rsidRDefault="00EE700D" w:rsidP="00EC3F47">
      <w:pPr>
        <w:shd w:val="clear" w:color="auto" w:fill="FFFFFF"/>
        <w:ind w:right="38"/>
        <w:jc w:val="both"/>
        <w:rPr>
          <w:b/>
          <w:i/>
          <w:sz w:val="28"/>
          <w:szCs w:val="28"/>
          <w:lang w:val="ru-RU"/>
        </w:rPr>
      </w:pPr>
      <w:proofErr w:type="spellStart"/>
      <w:r w:rsidRPr="00337D77">
        <w:rPr>
          <w:b/>
          <w:i/>
          <w:sz w:val="28"/>
          <w:szCs w:val="28"/>
          <w:lang w:val="ru-RU"/>
        </w:rPr>
        <w:t>Фармакодинамика</w:t>
      </w:r>
      <w:proofErr w:type="spellEnd"/>
    </w:p>
    <w:p w:rsidR="00CF6621" w:rsidRPr="00337D77" w:rsidRDefault="00CF6621" w:rsidP="00EC3F47">
      <w:pPr>
        <w:jc w:val="both"/>
        <w:rPr>
          <w:sz w:val="28"/>
          <w:szCs w:val="28"/>
          <w:lang w:val="ru-RU"/>
        </w:rPr>
      </w:pPr>
      <w:r w:rsidRPr="00337D77">
        <w:rPr>
          <w:i/>
          <w:sz w:val="28"/>
          <w:szCs w:val="28"/>
          <w:lang w:val="ru-RU"/>
        </w:rPr>
        <w:t>Ангиопротекторное действие</w:t>
      </w:r>
      <w:r w:rsidRPr="00337D77">
        <w:rPr>
          <w:sz w:val="28"/>
          <w:szCs w:val="28"/>
          <w:lang w:val="ru-RU"/>
        </w:rPr>
        <w:t xml:space="preserve"> связано с восстановлением структурной и функциональной целостности клеток эндотелия сосудов, с восстановлением нормальной плотности отрицательного электрического заряда пор базальной мембраны сосудов. Кроме того, препарат нормализует реологические свойства крови за </w:t>
      </w:r>
      <w:r w:rsidR="005E2B58" w:rsidRPr="00337D77">
        <w:rPr>
          <w:sz w:val="28"/>
          <w:szCs w:val="28"/>
          <w:lang w:val="ru-RU"/>
        </w:rPr>
        <w:t>счёт</w:t>
      </w:r>
      <w:r w:rsidRPr="00337D77">
        <w:rPr>
          <w:sz w:val="28"/>
          <w:szCs w:val="28"/>
          <w:lang w:val="ru-RU"/>
        </w:rPr>
        <w:t xml:space="preserve"> снижения уровня триглицеридов</w:t>
      </w:r>
      <w:r w:rsidR="00787D89" w:rsidRPr="00337D77">
        <w:rPr>
          <w:sz w:val="28"/>
          <w:szCs w:val="28"/>
          <w:lang w:val="ru-RU"/>
        </w:rPr>
        <w:t xml:space="preserve"> </w:t>
      </w:r>
      <w:r w:rsidRPr="00337D77">
        <w:rPr>
          <w:sz w:val="28"/>
          <w:szCs w:val="28"/>
          <w:lang w:val="ru-RU"/>
        </w:rPr>
        <w:t xml:space="preserve">(стимулирует </w:t>
      </w:r>
      <w:proofErr w:type="spellStart"/>
      <w:r w:rsidRPr="00337D77">
        <w:rPr>
          <w:sz w:val="28"/>
          <w:szCs w:val="28"/>
          <w:lang w:val="ru-RU"/>
        </w:rPr>
        <w:t>липолитический</w:t>
      </w:r>
      <w:proofErr w:type="spellEnd"/>
      <w:r w:rsidRPr="00337D77">
        <w:rPr>
          <w:sz w:val="28"/>
          <w:szCs w:val="28"/>
          <w:lang w:val="ru-RU"/>
        </w:rPr>
        <w:t xml:space="preserve"> фермент </w:t>
      </w:r>
      <w:r w:rsidR="005E2B58" w:rsidRPr="00337D77">
        <w:rPr>
          <w:sz w:val="28"/>
          <w:szCs w:val="28"/>
          <w:lang w:val="ru-RU"/>
        </w:rPr>
        <w:t>–</w:t>
      </w:r>
      <w:r w:rsidRPr="00337D77">
        <w:rPr>
          <w:sz w:val="28"/>
          <w:szCs w:val="28"/>
          <w:lang w:val="ru-RU"/>
        </w:rPr>
        <w:t xml:space="preserve"> липопротеинлипазу, гидролизующую триглицериды, входящие в состав ЛПНП).</w:t>
      </w:r>
    </w:p>
    <w:p w:rsidR="006B269C" w:rsidRPr="00337D77" w:rsidRDefault="006B269C" w:rsidP="006B269C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 xml:space="preserve">Эффективность применения препарата при диабетической нефропатии определяется способностью сулодексида уменьшать толщину базальной мембраны и продукцию экстрацеллюлярного матрикса за счёт снижения пролиферации клеток мезангиума. </w:t>
      </w:r>
    </w:p>
    <w:p w:rsidR="00CF6621" w:rsidRPr="00337D77" w:rsidRDefault="00CF6621" w:rsidP="00EC3F47">
      <w:pPr>
        <w:jc w:val="both"/>
        <w:rPr>
          <w:sz w:val="28"/>
          <w:szCs w:val="28"/>
          <w:lang w:val="ru-RU"/>
        </w:rPr>
      </w:pPr>
      <w:r w:rsidRPr="00337D77">
        <w:rPr>
          <w:i/>
          <w:sz w:val="28"/>
          <w:szCs w:val="28"/>
          <w:lang w:val="ru-RU"/>
        </w:rPr>
        <w:t>Профибринолитическое действие</w:t>
      </w:r>
      <w:r w:rsidRPr="00337D77">
        <w:rPr>
          <w:sz w:val="28"/>
          <w:szCs w:val="28"/>
          <w:lang w:val="ru-RU"/>
        </w:rPr>
        <w:t xml:space="preserve"> обусловлено повышением в крови уровня тканевого активатора плазминогена и снижением содержания его ингибитора.</w:t>
      </w:r>
    </w:p>
    <w:p w:rsidR="00CF6621" w:rsidRPr="00337D77" w:rsidRDefault="00FE0E7D" w:rsidP="00EC3F47">
      <w:pPr>
        <w:jc w:val="both"/>
        <w:rPr>
          <w:sz w:val="28"/>
          <w:szCs w:val="28"/>
          <w:lang w:val="ru-RU"/>
        </w:rPr>
      </w:pPr>
      <w:r w:rsidRPr="00337D77">
        <w:rPr>
          <w:i/>
          <w:sz w:val="28"/>
          <w:szCs w:val="28"/>
          <w:lang w:val="ru-RU"/>
        </w:rPr>
        <w:t>Антитромботическая активность</w:t>
      </w:r>
      <w:r w:rsidRPr="00337D77">
        <w:rPr>
          <w:sz w:val="28"/>
          <w:szCs w:val="28"/>
          <w:lang w:val="ru-RU"/>
        </w:rPr>
        <w:t xml:space="preserve"> </w:t>
      </w:r>
      <w:r w:rsidR="00866F39">
        <w:rPr>
          <w:sz w:val="28"/>
          <w:szCs w:val="28"/>
          <w:lang w:val="ru-RU"/>
        </w:rPr>
        <w:t xml:space="preserve">сулодексида, назначаемого внутрь, является, главным образом, результатом </w:t>
      </w:r>
      <w:r w:rsidRPr="00337D77">
        <w:rPr>
          <w:sz w:val="28"/>
          <w:szCs w:val="28"/>
          <w:lang w:val="ru-RU"/>
        </w:rPr>
        <w:t>всех видов действия, которые сулодексид оказывает на сосудистую стенку (ангиопротекторное действие)</w:t>
      </w:r>
      <w:r w:rsidR="00866F39">
        <w:rPr>
          <w:sz w:val="28"/>
          <w:szCs w:val="28"/>
          <w:lang w:val="ru-RU"/>
        </w:rPr>
        <w:t>,</w:t>
      </w:r>
      <w:r w:rsidRPr="00337D77">
        <w:rPr>
          <w:sz w:val="28"/>
          <w:szCs w:val="28"/>
          <w:lang w:val="ru-RU"/>
        </w:rPr>
        <w:t xml:space="preserve"> фибринолиз (профибринолитическое действие)</w:t>
      </w:r>
      <w:r w:rsidR="00866F39">
        <w:rPr>
          <w:sz w:val="28"/>
          <w:szCs w:val="28"/>
          <w:lang w:val="ru-RU"/>
        </w:rPr>
        <w:t xml:space="preserve"> </w:t>
      </w:r>
      <w:r w:rsidR="009B01FC" w:rsidRPr="00337D77">
        <w:rPr>
          <w:sz w:val="28"/>
          <w:szCs w:val="28"/>
          <w:lang w:val="ru-RU"/>
        </w:rPr>
        <w:t>и ингибирование адгезии тромбоцитов.</w:t>
      </w:r>
    </w:p>
    <w:p w:rsidR="00787D89" w:rsidRPr="00337D77" w:rsidRDefault="00EE700D" w:rsidP="00EC3F47">
      <w:pPr>
        <w:jc w:val="both"/>
        <w:rPr>
          <w:b/>
          <w:i/>
          <w:color w:val="000000"/>
          <w:spacing w:val="-2"/>
          <w:sz w:val="28"/>
          <w:szCs w:val="28"/>
          <w:lang w:val="ru-RU"/>
        </w:rPr>
      </w:pPr>
      <w:r w:rsidRPr="00337D77">
        <w:rPr>
          <w:b/>
          <w:i/>
          <w:color w:val="000000"/>
          <w:spacing w:val="-2"/>
          <w:sz w:val="28"/>
          <w:szCs w:val="28"/>
          <w:lang w:val="ru-RU"/>
        </w:rPr>
        <w:t>Фармакокинетика</w:t>
      </w:r>
    </w:p>
    <w:p w:rsidR="00EE700D" w:rsidRPr="00337D77" w:rsidRDefault="00BE41FF" w:rsidP="006442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6975AC" w:rsidRPr="00337D77">
        <w:rPr>
          <w:sz w:val="28"/>
          <w:szCs w:val="28"/>
          <w:lang w:val="ru-RU"/>
        </w:rPr>
        <w:t>улодексид</w:t>
      </w:r>
      <w:r>
        <w:rPr>
          <w:sz w:val="28"/>
          <w:szCs w:val="28"/>
          <w:lang w:val="ru-RU"/>
        </w:rPr>
        <w:t xml:space="preserve"> всасывается в </w:t>
      </w:r>
      <w:r w:rsidRPr="002C3BC0">
        <w:rPr>
          <w:sz w:val="28"/>
          <w:szCs w:val="28"/>
          <w:lang w:val="ru-RU"/>
        </w:rPr>
        <w:t xml:space="preserve">тонком кишечнике. После </w:t>
      </w:r>
      <w:r w:rsidR="00DA253C" w:rsidRPr="002C3BC0">
        <w:rPr>
          <w:sz w:val="28"/>
          <w:szCs w:val="28"/>
          <w:lang w:val="ru-RU"/>
        </w:rPr>
        <w:t>приёма внутрь</w:t>
      </w:r>
      <w:r w:rsidRPr="002C3BC0">
        <w:rPr>
          <w:sz w:val="28"/>
          <w:szCs w:val="28"/>
          <w:lang w:val="ru-RU"/>
        </w:rPr>
        <w:t xml:space="preserve"> мечен</w:t>
      </w:r>
      <w:r w:rsidR="00DA253C" w:rsidRPr="002C3BC0">
        <w:rPr>
          <w:sz w:val="28"/>
          <w:szCs w:val="28"/>
          <w:lang w:val="ru-RU"/>
        </w:rPr>
        <w:t>ного</w:t>
      </w:r>
      <w:r w:rsidRPr="002C3BC0">
        <w:rPr>
          <w:sz w:val="28"/>
          <w:szCs w:val="28"/>
          <w:lang w:val="ru-RU"/>
        </w:rPr>
        <w:t xml:space="preserve"> пр</w:t>
      </w:r>
      <w:r w:rsidR="00DA253C" w:rsidRPr="002C3BC0">
        <w:rPr>
          <w:sz w:val="28"/>
          <w:szCs w:val="28"/>
          <w:lang w:val="ru-RU"/>
        </w:rPr>
        <w:t>епарата</w:t>
      </w:r>
      <w:r w:rsidRPr="002C3BC0">
        <w:rPr>
          <w:sz w:val="28"/>
          <w:szCs w:val="28"/>
          <w:lang w:val="ru-RU"/>
        </w:rPr>
        <w:t xml:space="preserve"> первый пик </w:t>
      </w:r>
      <w:r w:rsidR="00DA253C" w:rsidRPr="002C3BC0">
        <w:rPr>
          <w:sz w:val="28"/>
          <w:szCs w:val="28"/>
          <w:lang w:val="ru-RU"/>
        </w:rPr>
        <w:t xml:space="preserve">сулодексида </w:t>
      </w:r>
      <w:r w:rsidRPr="002C3BC0">
        <w:rPr>
          <w:sz w:val="28"/>
          <w:szCs w:val="28"/>
          <w:lang w:val="ru-RU"/>
        </w:rPr>
        <w:t xml:space="preserve">в </w:t>
      </w:r>
      <w:r w:rsidR="00DA253C" w:rsidRPr="002C3BC0">
        <w:rPr>
          <w:sz w:val="28"/>
          <w:szCs w:val="28"/>
          <w:lang w:val="ru-RU"/>
        </w:rPr>
        <w:t>плазме</w:t>
      </w:r>
      <w:r w:rsidRPr="002C3BC0">
        <w:rPr>
          <w:sz w:val="28"/>
          <w:szCs w:val="28"/>
          <w:lang w:val="ru-RU"/>
        </w:rPr>
        <w:t xml:space="preserve"> </w:t>
      </w:r>
      <w:r w:rsidR="00DA253C" w:rsidRPr="002C3BC0">
        <w:rPr>
          <w:sz w:val="28"/>
          <w:szCs w:val="28"/>
          <w:lang w:val="ru-RU"/>
        </w:rPr>
        <w:t xml:space="preserve">крови </w:t>
      </w:r>
      <w:r w:rsidRPr="002C3BC0">
        <w:rPr>
          <w:sz w:val="28"/>
          <w:szCs w:val="28"/>
          <w:lang w:val="ru-RU"/>
        </w:rPr>
        <w:t xml:space="preserve">наблюдается через 2 часа, второй </w:t>
      </w:r>
      <w:r w:rsidR="00DA253C" w:rsidRPr="002C3BC0">
        <w:rPr>
          <w:sz w:val="28"/>
          <w:szCs w:val="28"/>
          <w:lang w:val="ru-RU"/>
        </w:rPr>
        <w:t xml:space="preserve">– </w:t>
      </w:r>
      <w:r w:rsidRPr="002C3BC0">
        <w:rPr>
          <w:sz w:val="28"/>
          <w:szCs w:val="28"/>
          <w:lang w:val="ru-RU"/>
        </w:rPr>
        <w:t>от</w:t>
      </w:r>
      <w:r w:rsidR="00DA253C" w:rsidRPr="002C3BC0">
        <w:rPr>
          <w:sz w:val="28"/>
          <w:szCs w:val="28"/>
          <w:lang w:val="ru-RU"/>
        </w:rPr>
        <w:t xml:space="preserve"> </w:t>
      </w:r>
      <w:r w:rsidRPr="002C3BC0">
        <w:rPr>
          <w:sz w:val="28"/>
          <w:szCs w:val="28"/>
          <w:lang w:val="ru-RU"/>
        </w:rPr>
        <w:t xml:space="preserve">4 до 6 часов, после чего препарат больше не обнаруживается в плазме; </w:t>
      </w:r>
      <w:r w:rsidR="00DA253C" w:rsidRPr="002C3BC0">
        <w:rPr>
          <w:sz w:val="28"/>
          <w:szCs w:val="28"/>
          <w:lang w:val="ru-RU"/>
        </w:rPr>
        <w:t>концентрация</w:t>
      </w:r>
      <w:r w:rsidRPr="002C3BC0">
        <w:rPr>
          <w:sz w:val="28"/>
          <w:szCs w:val="28"/>
          <w:lang w:val="ru-RU"/>
        </w:rPr>
        <w:t xml:space="preserve"> восстанавливается </w:t>
      </w:r>
      <w:r w:rsidR="00DA253C" w:rsidRPr="002C3BC0">
        <w:rPr>
          <w:sz w:val="28"/>
          <w:szCs w:val="28"/>
          <w:lang w:val="ru-RU"/>
        </w:rPr>
        <w:t>через приблизительно</w:t>
      </w:r>
      <w:r w:rsidRPr="002C3BC0">
        <w:rPr>
          <w:sz w:val="28"/>
          <w:szCs w:val="28"/>
          <w:lang w:val="ru-RU"/>
        </w:rPr>
        <w:t xml:space="preserve"> 12 часов, а затем остается постоянной примерно </w:t>
      </w:r>
      <w:r w:rsidR="00593E43" w:rsidRPr="002C3BC0">
        <w:rPr>
          <w:sz w:val="28"/>
          <w:szCs w:val="28"/>
          <w:lang w:val="ru-RU"/>
        </w:rPr>
        <w:t>до 48-го</w:t>
      </w:r>
      <w:r w:rsidRPr="002C3BC0">
        <w:rPr>
          <w:sz w:val="28"/>
          <w:szCs w:val="28"/>
          <w:lang w:val="ru-RU"/>
        </w:rPr>
        <w:t xml:space="preserve"> час</w:t>
      </w:r>
      <w:r w:rsidR="00593E43" w:rsidRPr="002C3BC0">
        <w:rPr>
          <w:sz w:val="28"/>
          <w:szCs w:val="28"/>
          <w:lang w:val="ru-RU"/>
        </w:rPr>
        <w:t>а</w:t>
      </w:r>
      <w:r w:rsidRPr="002C3BC0">
        <w:rPr>
          <w:sz w:val="28"/>
          <w:szCs w:val="28"/>
          <w:lang w:val="ru-RU"/>
        </w:rPr>
        <w:t xml:space="preserve">. Постоянный уровень в </w:t>
      </w:r>
      <w:r w:rsidR="00593E43" w:rsidRPr="002C3BC0">
        <w:rPr>
          <w:sz w:val="28"/>
          <w:szCs w:val="28"/>
          <w:lang w:val="ru-RU"/>
        </w:rPr>
        <w:t xml:space="preserve">плазме </w:t>
      </w:r>
      <w:r w:rsidRPr="002C3BC0">
        <w:rPr>
          <w:sz w:val="28"/>
          <w:szCs w:val="28"/>
          <w:lang w:val="ru-RU"/>
        </w:rPr>
        <w:t xml:space="preserve">крови </w:t>
      </w:r>
      <w:r w:rsidR="00593E43" w:rsidRPr="002C3BC0">
        <w:rPr>
          <w:sz w:val="28"/>
          <w:szCs w:val="28"/>
          <w:lang w:val="ru-RU"/>
        </w:rPr>
        <w:t>обнаруживается</w:t>
      </w:r>
      <w:r w:rsidRPr="002C3BC0">
        <w:rPr>
          <w:sz w:val="28"/>
          <w:szCs w:val="28"/>
          <w:lang w:val="ru-RU"/>
        </w:rPr>
        <w:t xml:space="preserve"> через 12 часов, вероятно, из-за медленного высвобождения </w:t>
      </w:r>
      <w:r w:rsidR="00593E43" w:rsidRPr="002C3BC0">
        <w:rPr>
          <w:sz w:val="28"/>
          <w:szCs w:val="28"/>
          <w:lang w:val="ru-RU"/>
        </w:rPr>
        <w:t>препарата</w:t>
      </w:r>
      <w:r w:rsidRPr="002C3BC0">
        <w:rPr>
          <w:sz w:val="28"/>
          <w:szCs w:val="28"/>
          <w:lang w:val="ru-RU"/>
        </w:rPr>
        <w:t xml:space="preserve"> органами поглощения и, в частности</w:t>
      </w:r>
      <w:r w:rsidR="00593E43" w:rsidRPr="002C3BC0">
        <w:rPr>
          <w:sz w:val="28"/>
          <w:szCs w:val="28"/>
          <w:lang w:val="ru-RU"/>
        </w:rPr>
        <w:t>,</w:t>
      </w:r>
      <w:r w:rsidRPr="002C3BC0">
        <w:rPr>
          <w:sz w:val="28"/>
          <w:szCs w:val="28"/>
          <w:lang w:val="ru-RU"/>
        </w:rPr>
        <w:t xml:space="preserve"> эндотели</w:t>
      </w:r>
      <w:r w:rsidR="00593E43" w:rsidRPr="002C3BC0">
        <w:rPr>
          <w:sz w:val="28"/>
          <w:szCs w:val="28"/>
          <w:lang w:val="ru-RU"/>
        </w:rPr>
        <w:t>ем</w:t>
      </w:r>
      <w:r w:rsidRPr="002C3BC0">
        <w:rPr>
          <w:sz w:val="28"/>
          <w:szCs w:val="28"/>
          <w:lang w:val="ru-RU"/>
        </w:rPr>
        <w:t xml:space="preserve"> сосудов.</w:t>
      </w:r>
      <w:r w:rsidR="00593E43" w:rsidRPr="002C3BC0">
        <w:rPr>
          <w:sz w:val="28"/>
          <w:szCs w:val="28"/>
          <w:lang w:val="ru-RU"/>
        </w:rPr>
        <w:t xml:space="preserve"> </w:t>
      </w:r>
      <w:r w:rsidR="009C5253" w:rsidRPr="002C3BC0">
        <w:rPr>
          <w:sz w:val="28"/>
          <w:szCs w:val="28"/>
          <w:lang w:val="ru-RU"/>
        </w:rPr>
        <w:t>С</w:t>
      </w:r>
      <w:r w:rsidR="00787D89" w:rsidRPr="002C3BC0">
        <w:rPr>
          <w:sz w:val="28"/>
          <w:szCs w:val="28"/>
          <w:lang w:val="ru-RU"/>
        </w:rPr>
        <w:t>улодексид</w:t>
      </w:r>
      <w:r w:rsidR="009C5253" w:rsidRPr="002C3BC0">
        <w:rPr>
          <w:sz w:val="28"/>
          <w:szCs w:val="28"/>
          <w:lang w:val="ru-RU"/>
        </w:rPr>
        <w:t xml:space="preserve"> распределяется в эндотелии сосудов в </w:t>
      </w:r>
      <w:r w:rsidR="00EE700D" w:rsidRPr="002C3BC0">
        <w:rPr>
          <w:sz w:val="28"/>
          <w:szCs w:val="28"/>
          <w:lang w:val="ru-RU"/>
        </w:rPr>
        <w:t>концентраци</w:t>
      </w:r>
      <w:r w:rsidR="009C5253" w:rsidRPr="002C3BC0">
        <w:rPr>
          <w:sz w:val="28"/>
          <w:szCs w:val="28"/>
          <w:lang w:val="ru-RU"/>
        </w:rPr>
        <w:t>и</w:t>
      </w:r>
      <w:r w:rsidR="006442B1" w:rsidRPr="002C3BC0">
        <w:rPr>
          <w:sz w:val="28"/>
          <w:szCs w:val="28"/>
          <w:lang w:val="ru-RU"/>
        </w:rPr>
        <w:t xml:space="preserve"> </w:t>
      </w:r>
      <w:r w:rsidR="00EE700D" w:rsidRPr="002C3BC0">
        <w:rPr>
          <w:sz w:val="28"/>
          <w:szCs w:val="28"/>
          <w:lang w:val="ru-RU"/>
        </w:rPr>
        <w:t xml:space="preserve">20-30 раз </w:t>
      </w:r>
      <w:r w:rsidR="006442B1" w:rsidRPr="002C3BC0">
        <w:rPr>
          <w:sz w:val="28"/>
          <w:szCs w:val="28"/>
          <w:lang w:val="ru-RU"/>
        </w:rPr>
        <w:t>превышающей концентрацию в других тканях</w:t>
      </w:r>
      <w:r w:rsidR="006442B1" w:rsidRPr="00337D77">
        <w:rPr>
          <w:sz w:val="28"/>
          <w:szCs w:val="28"/>
          <w:lang w:val="ru-RU"/>
        </w:rPr>
        <w:t xml:space="preserve">. </w:t>
      </w:r>
      <w:r w:rsidR="00EE700D" w:rsidRPr="00337D77">
        <w:rPr>
          <w:sz w:val="28"/>
          <w:szCs w:val="28"/>
          <w:lang w:val="ru-RU"/>
        </w:rPr>
        <w:t xml:space="preserve">Метаболизируется в печени и </w:t>
      </w:r>
      <w:r w:rsidR="006442B1" w:rsidRPr="00337D77">
        <w:rPr>
          <w:sz w:val="28"/>
          <w:szCs w:val="28"/>
          <w:lang w:val="ru-RU"/>
        </w:rPr>
        <w:t xml:space="preserve">выводится, главным образом, </w:t>
      </w:r>
      <w:r w:rsidR="00EE700D" w:rsidRPr="00337D77">
        <w:rPr>
          <w:sz w:val="28"/>
          <w:szCs w:val="28"/>
          <w:lang w:val="ru-RU"/>
        </w:rPr>
        <w:t>почка</w:t>
      </w:r>
      <w:r w:rsidR="006442B1" w:rsidRPr="00337D77">
        <w:rPr>
          <w:sz w:val="28"/>
          <w:szCs w:val="28"/>
          <w:lang w:val="ru-RU"/>
        </w:rPr>
        <w:t>ми</w:t>
      </w:r>
      <w:r w:rsidR="00EE700D" w:rsidRPr="00337D77">
        <w:rPr>
          <w:sz w:val="28"/>
          <w:szCs w:val="28"/>
          <w:lang w:val="ru-RU"/>
        </w:rPr>
        <w:t xml:space="preserve">. </w:t>
      </w:r>
      <w:r w:rsidR="006442B1" w:rsidRPr="00337D77">
        <w:rPr>
          <w:sz w:val="28"/>
          <w:szCs w:val="28"/>
          <w:lang w:val="ru-RU"/>
        </w:rPr>
        <w:t>При исследовании радиоактивного меченного препарата 55,23 % сулодексида выделялось с мочой в течение первых 96 часов.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Показания к применению</w:t>
      </w:r>
    </w:p>
    <w:p w:rsidR="00EE700D" w:rsidRPr="00337D7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337D77">
        <w:rPr>
          <w:sz w:val="28"/>
          <w:szCs w:val="28"/>
          <w:lang w:val="ru-RU"/>
        </w:rPr>
        <w:t>ангиопатии</w:t>
      </w:r>
      <w:proofErr w:type="spellEnd"/>
      <w:r w:rsidRPr="00337D77">
        <w:rPr>
          <w:sz w:val="28"/>
          <w:szCs w:val="28"/>
          <w:lang w:val="ru-RU"/>
        </w:rPr>
        <w:t xml:space="preserve"> с повышенным риском тромбообразования, в том числе и после перенес</w:t>
      </w:r>
      <w:r w:rsidR="00347702" w:rsidRPr="00337D77">
        <w:rPr>
          <w:sz w:val="28"/>
          <w:szCs w:val="28"/>
          <w:lang w:val="ru-RU"/>
        </w:rPr>
        <w:t>ё</w:t>
      </w:r>
      <w:r w:rsidRPr="00337D77">
        <w:rPr>
          <w:sz w:val="28"/>
          <w:szCs w:val="28"/>
          <w:lang w:val="ru-RU"/>
        </w:rPr>
        <w:t>нного инфаркта миокарда;</w:t>
      </w:r>
    </w:p>
    <w:p w:rsidR="00EE700D" w:rsidRPr="00337D7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 xml:space="preserve">нарушение мозгового кровообращения, включая острый период ишемического инсульта и период раннего восстановления; </w:t>
      </w:r>
      <w:proofErr w:type="spellStart"/>
      <w:r w:rsidRPr="00337D77">
        <w:rPr>
          <w:sz w:val="28"/>
          <w:szCs w:val="28"/>
          <w:lang w:val="ru-RU"/>
        </w:rPr>
        <w:t>дисциркуляторная</w:t>
      </w:r>
      <w:proofErr w:type="spellEnd"/>
      <w:r w:rsidRPr="00337D77">
        <w:rPr>
          <w:sz w:val="28"/>
          <w:szCs w:val="28"/>
          <w:lang w:val="ru-RU"/>
        </w:rPr>
        <w:t xml:space="preserve"> энцефалопатия, обусловленная атеросклерозом, сахарным диабетом, гипертонической болезнью; сосудистая деменция;</w:t>
      </w:r>
    </w:p>
    <w:p w:rsidR="00EE700D" w:rsidRPr="00337D7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337D77">
        <w:rPr>
          <w:sz w:val="28"/>
          <w:szCs w:val="28"/>
          <w:lang w:val="ru-RU"/>
        </w:rPr>
        <w:t>окклюзионные</w:t>
      </w:r>
      <w:proofErr w:type="spellEnd"/>
      <w:r w:rsidRPr="00337D77">
        <w:rPr>
          <w:sz w:val="28"/>
          <w:szCs w:val="28"/>
          <w:lang w:val="ru-RU"/>
        </w:rPr>
        <w:t xml:space="preserve"> поражения периферических артерий как атеросклеротического, так и диабетического генеза;</w:t>
      </w:r>
    </w:p>
    <w:p w:rsidR="00EE700D" w:rsidRPr="00337D7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337D77">
        <w:rPr>
          <w:sz w:val="28"/>
          <w:szCs w:val="28"/>
          <w:lang w:val="ru-RU"/>
        </w:rPr>
        <w:t>флебопатии</w:t>
      </w:r>
      <w:proofErr w:type="spellEnd"/>
      <w:r w:rsidRPr="00337D77">
        <w:rPr>
          <w:sz w:val="28"/>
          <w:szCs w:val="28"/>
          <w:lang w:val="ru-RU"/>
        </w:rPr>
        <w:t>, тромбозы глубоких вен;</w:t>
      </w:r>
    </w:p>
    <w:p w:rsidR="00EE700D" w:rsidRPr="00337D7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 xml:space="preserve">микроангиопатии (нефропатия, </w:t>
      </w:r>
      <w:proofErr w:type="spellStart"/>
      <w:r w:rsidRPr="00337D77">
        <w:rPr>
          <w:sz w:val="28"/>
          <w:szCs w:val="28"/>
          <w:lang w:val="ru-RU"/>
        </w:rPr>
        <w:t>ретинопатия</w:t>
      </w:r>
      <w:proofErr w:type="spellEnd"/>
      <w:r w:rsidRPr="00337D77">
        <w:rPr>
          <w:sz w:val="28"/>
          <w:szCs w:val="28"/>
          <w:lang w:val="ru-RU"/>
        </w:rPr>
        <w:t xml:space="preserve">, </w:t>
      </w:r>
      <w:proofErr w:type="spellStart"/>
      <w:r w:rsidRPr="00337D77">
        <w:rPr>
          <w:sz w:val="28"/>
          <w:szCs w:val="28"/>
          <w:lang w:val="ru-RU"/>
        </w:rPr>
        <w:t>нейропатия</w:t>
      </w:r>
      <w:proofErr w:type="spellEnd"/>
      <w:r w:rsidRPr="00337D77">
        <w:rPr>
          <w:sz w:val="28"/>
          <w:szCs w:val="28"/>
          <w:lang w:val="ru-RU"/>
        </w:rPr>
        <w:t xml:space="preserve">) и </w:t>
      </w:r>
      <w:proofErr w:type="spellStart"/>
      <w:r w:rsidRPr="00337D77">
        <w:rPr>
          <w:sz w:val="28"/>
          <w:szCs w:val="28"/>
          <w:lang w:val="ru-RU"/>
        </w:rPr>
        <w:t>макроангиопатии</w:t>
      </w:r>
      <w:proofErr w:type="spellEnd"/>
      <w:r w:rsidRPr="00337D77">
        <w:rPr>
          <w:sz w:val="28"/>
          <w:szCs w:val="28"/>
          <w:lang w:val="ru-RU"/>
        </w:rPr>
        <w:t xml:space="preserve"> при сахарном диабете (синдром диабетической стопы, энцефалопатия, </w:t>
      </w:r>
      <w:proofErr w:type="spellStart"/>
      <w:r w:rsidRPr="00337D77">
        <w:rPr>
          <w:sz w:val="28"/>
          <w:szCs w:val="28"/>
          <w:lang w:val="ru-RU"/>
        </w:rPr>
        <w:t>кардиопатия</w:t>
      </w:r>
      <w:proofErr w:type="spellEnd"/>
      <w:r w:rsidRPr="00337D77">
        <w:rPr>
          <w:sz w:val="28"/>
          <w:szCs w:val="28"/>
          <w:lang w:val="ru-RU"/>
        </w:rPr>
        <w:t>);</w:t>
      </w:r>
    </w:p>
    <w:p w:rsidR="00EE700D" w:rsidRPr="00337D7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 w:rsidRPr="00337D77">
        <w:rPr>
          <w:sz w:val="28"/>
          <w:szCs w:val="28"/>
          <w:lang w:val="ru-RU"/>
        </w:rPr>
        <w:t>тромбофилические</w:t>
      </w:r>
      <w:proofErr w:type="spellEnd"/>
      <w:r w:rsidRPr="00337D77">
        <w:rPr>
          <w:sz w:val="28"/>
          <w:szCs w:val="28"/>
          <w:lang w:val="ru-RU"/>
        </w:rPr>
        <w:t xml:space="preserve"> состояния, антифосфолипидный синдром (назначают совместно с ацетилсалициловой кислотой, а также вслед за низкомолекулярными гепаринами);</w:t>
      </w:r>
    </w:p>
    <w:p w:rsidR="00EE700D" w:rsidRPr="00337D77" w:rsidRDefault="00EE700D" w:rsidP="00EC3F47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 xml:space="preserve">лечение </w:t>
      </w:r>
      <w:proofErr w:type="spellStart"/>
      <w:r w:rsidRPr="00337D77">
        <w:rPr>
          <w:sz w:val="28"/>
          <w:szCs w:val="28"/>
          <w:lang w:val="ru-RU"/>
        </w:rPr>
        <w:t>гепарининдуцированной</w:t>
      </w:r>
      <w:proofErr w:type="spellEnd"/>
      <w:r w:rsidRPr="00337D77">
        <w:rPr>
          <w:sz w:val="28"/>
          <w:szCs w:val="28"/>
          <w:lang w:val="ru-RU"/>
        </w:rPr>
        <w:t xml:space="preserve"> тромботической тромбоцитопении, поскольку не вызывает и не усугубляет её. </w:t>
      </w:r>
    </w:p>
    <w:p w:rsidR="00EC3F47" w:rsidRPr="00337D77" w:rsidRDefault="00EC3F47" w:rsidP="00AF2C54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Противопоказания</w:t>
      </w:r>
    </w:p>
    <w:p w:rsidR="00EE700D" w:rsidRPr="00337D77" w:rsidRDefault="008D0A35" w:rsidP="00EC3F47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гиперчувствительность</w:t>
      </w:r>
      <w:r w:rsidR="00DC5B65" w:rsidRPr="00337D77">
        <w:rPr>
          <w:sz w:val="28"/>
          <w:szCs w:val="28"/>
          <w:lang w:val="ru-RU"/>
        </w:rPr>
        <w:t>;</w:t>
      </w:r>
    </w:p>
    <w:p w:rsidR="00EE700D" w:rsidRPr="00337D77" w:rsidRDefault="00EE700D" w:rsidP="00EC3F47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геморрагический диатез и заболевания, сопровождающиеся пониженной свертываемостью крови;</w:t>
      </w:r>
    </w:p>
    <w:p w:rsidR="00EE700D" w:rsidRPr="00337D77" w:rsidRDefault="00787D89" w:rsidP="00EC3F47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 xml:space="preserve">беременность </w:t>
      </w:r>
      <w:r w:rsidR="00EE700D" w:rsidRPr="00337D77">
        <w:rPr>
          <w:sz w:val="28"/>
          <w:szCs w:val="28"/>
          <w:lang w:val="ru-RU"/>
        </w:rPr>
        <w:t>I триместр.</w:t>
      </w:r>
    </w:p>
    <w:p w:rsidR="00EE700D" w:rsidRPr="00337D77" w:rsidRDefault="00EE700D" w:rsidP="00EC3F47">
      <w:pPr>
        <w:jc w:val="both"/>
        <w:rPr>
          <w:i/>
          <w:snapToGrid w:val="0"/>
          <w:sz w:val="28"/>
          <w:szCs w:val="28"/>
          <w:u w:val="single"/>
          <w:lang w:val="ru-RU"/>
        </w:rPr>
      </w:pPr>
    </w:p>
    <w:p w:rsidR="00945B92" w:rsidRPr="00337D77" w:rsidRDefault="00945B92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С осторожностью:</w:t>
      </w:r>
    </w:p>
    <w:p w:rsidR="00945B92" w:rsidRPr="00337D77" w:rsidRDefault="005E2B58" w:rsidP="00593E43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При совместном применении с антикоагулянтами следует контролировать параметры свёртываемости крови.</w:t>
      </w:r>
    </w:p>
    <w:p w:rsidR="00945B92" w:rsidRPr="00337D77" w:rsidRDefault="00945B92" w:rsidP="00EC3F47">
      <w:pPr>
        <w:jc w:val="both"/>
        <w:rPr>
          <w:i/>
          <w:snapToGrid w:val="0"/>
          <w:sz w:val="28"/>
          <w:szCs w:val="28"/>
          <w:u w:val="single"/>
          <w:lang w:val="ru-RU"/>
        </w:rPr>
      </w:pPr>
    </w:p>
    <w:p w:rsidR="00945B92" w:rsidRPr="00337D77" w:rsidRDefault="00945B92" w:rsidP="00EC3F47">
      <w:pPr>
        <w:shd w:val="clear" w:color="auto" w:fill="FFFFFF"/>
        <w:ind w:right="38"/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Применение при беременности и в период грудного вскармливания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napToGrid w:val="0"/>
          <w:sz w:val="28"/>
          <w:szCs w:val="28"/>
          <w:lang w:val="ru-RU"/>
        </w:rPr>
        <w:t xml:space="preserve">При беременности назначается под строгим наблюдением врача. </w:t>
      </w:r>
      <w:r w:rsidRPr="00337D77">
        <w:rPr>
          <w:sz w:val="28"/>
          <w:szCs w:val="28"/>
          <w:lang w:val="ru-RU"/>
        </w:rPr>
        <w:t xml:space="preserve">Имеется положительный опыт применения препарата с целью лечения и профилактики сосудистых осложнений у </w:t>
      </w:r>
      <w:r w:rsidR="00945B92" w:rsidRPr="00337D77">
        <w:rPr>
          <w:sz w:val="28"/>
          <w:szCs w:val="28"/>
          <w:lang w:val="ru-RU"/>
        </w:rPr>
        <w:t>пациенток с</w:t>
      </w:r>
      <w:r w:rsidRPr="00337D77">
        <w:rPr>
          <w:sz w:val="28"/>
          <w:szCs w:val="28"/>
          <w:lang w:val="ru-RU"/>
        </w:rPr>
        <w:t xml:space="preserve"> диабетом типа I во II и III триместрах беременности, при развитии позднего токсикоза беременных. </w:t>
      </w:r>
    </w:p>
    <w:p w:rsidR="00EE700D" w:rsidRPr="00337D77" w:rsidRDefault="00EE700D" w:rsidP="00EC3F47">
      <w:pPr>
        <w:jc w:val="both"/>
        <w:rPr>
          <w:i/>
          <w:snapToGrid w:val="0"/>
          <w:sz w:val="28"/>
          <w:szCs w:val="28"/>
          <w:u w:val="single"/>
          <w:lang w:val="ru-RU"/>
        </w:rPr>
      </w:pPr>
    </w:p>
    <w:p w:rsidR="00EE700D" w:rsidRPr="00337D77" w:rsidRDefault="00EE700D" w:rsidP="00EC3F47">
      <w:pPr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 xml:space="preserve">Способ применения и </w:t>
      </w:r>
      <w:r w:rsidR="00945B92" w:rsidRPr="00337D77">
        <w:rPr>
          <w:b/>
          <w:sz w:val="28"/>
          <w:szCs w:val="28"/>
          <w:lang w:val="ru-RU"/>
        </w:rPr>
        <w:t>дозы</w:t>
      </w:r>
    </w:p>
    <w:p w:rsidR="008E68DC" w:rsidRPr="00337D77" w:rsidRDefault="008E68DC" w:rsidP="008E68DC">
      <w:pPr>
        <w:jc w:val="both"/>
        <w:rPr>
          <w:snapToGrid w:val="0"/>
          <w:sz w:val="28"/>
          <w:szCs w:val="28"/>
          <w:lang w:val="ru-RU"/>
        </w:rPr>
      </w:pPr>
      <w:r w:rsidRPr="00337D77">
        <w:rPr>
          <w:snapToGrid w:val="0"/>
          <w:sz w:val="28"/>
          <w:szCs w:val="28"/>
          <w:lang w:val="ru-RU"/>
        </w:rPr>
        <w:t>По 1</w:t>
      </w:r>
      <w:r w:rsidR="00593E43">
        <w:rPr>
          <w:snapToGrid w:val="0"/>
          <w:sz w:val="28"/>
          <w:szCs w:val="28"/>
          <w:lang w:val="ru-RU"/>
        </w:rPr>
        <w:t>-2 капсулы</w:t>
      </w:r>
      <w:r w:rsidRPr="00337D77">
        <w:rPr>
          <w:snapToGrid w:val="0"/>
          <w:sz w:val="28"/>
          <w:szCs w:val="28"/>
          <w:lang w:val="ru-RU"/>
        </w:rPr>
        <w:t xml:space="preserve"> </w:t>
      </w:r>
      <w:r w:rsidR="00593E43">
        <w:rPr>
          <w:snapToGrid w:val="0"/>
          <w:sz w:val="28"/>
          <w:szCs w:val="28"/>
          <w:lang w:val="ru-RU"/>
        </w:rPr>
        <w:t xml:space="preserve">2 раза в день </w:t>
      </w:r>
      <w:r w:rsidR="00E15CF4">
        <w:rPr>
          <w:snapToGrid w:val="0"/>
          <w:sz w:val="28"/>
          <w:szCs w:val="28"/>
          <w:lang w:val="ru-RU"/>
        </w:rPr>
        <w:t>до</w:t>
      </w:r>
      <w:r w:rsidR="004313A5">
        <w:rPr>
          <w:snapToGrid w:val="0"/>
          <w:sz w:val="28"/>
          <w:szCs w:val="28"/>
          <w:lang w:val="ru-RU"/>
        </w:rPr>
        <w:t xml:space="preserve"> приёма</w:t>
      </w:r>
      <w:r w:rsidR="00593E43">
        <w:rPr>
          <w:snapToGrid w:val="0"/>
          <w:sz w:val="28"/>
          <w:szCs w:val="28"/>
          <w:lang w:val="ru-RU"/>
        </w:rPr>
        <w:t xml:space="preserve"> пищи в </w:t>
      </w:r>
      <w:r w:rsidR="00593E43" w:rsidRPr="00337D77">
        <w:rPr>
          <w:sz w:val="28"/>
          <w:szCs w:val="28"/>
          <w:lang w:val="ru-RU"/>
        </w:rPr>
        <w:t>течение 30-40 дней</w:t>
      </w:r>
      <w:r w:rsidR="00593E43">
        <w:rPr>
          <w:sz w:val="28"/>
          <w:szCs w:val="28"/>
          <w:lang w:val="ru-RU"/>
        </w:rPr>
        <w:t>. Обычно</w:t>
      </w:r>
      <w:r w:rsidR="00593E43" w:rsidRPr="00337D77">
        <w:rPr>
          <w:sz w:val="28"/>
          <w:szCs w:val="28"/>
          <w:lang w:val="ru-RU"/>
        </w:rPr>
        <w:t xml:space="preserve">, </w:t>
      </w:r>
      <w:r w:rsidR="00593E43">
        <w:rPr>
          <w:sz w:val="28"/>
          <w:szCs w:val="28"/>
          <w:lang w:val="ru-RU"/>
        </w:rPr>
        <w:t>лечение начинаю</w:t>
      </w:r>
      <w:r w:rsidR="00FB1CCD">
        <w:rPr>
          <w:sz w:val="28"/>
          <w:szCs w:val="28"/>
          <w:lang w:val="ru-RU"/>
        </w:rPr>
        <w:t>т</w:t>
      </w:r>
      <w:r w:rsidR="00593E43">
        <w:rPr>
          <w:sz w:val="28"/>
          <w:szCs w:val="28"/>
          <w:lang w:val="ru-RU"/>
        </w:rPr>
        <w:t xml:space="preserve"> с применения препарата в лекарственной форме «раствор для внутривенного и внутримышечного применения» </w:t>
      </w:r>
      <w:r w:rsidR="004150F0">
        <w:rPr>
          <w:sz w:val="28"/>
          <w:szCs w:val="28"/>
          <w:lang w:val="ru-RU"/>
        </w:rPr>
        <w:t>по 1 ампуле в день</w:t>
      </w:r>
      <w:r w:rsidR="00ED75D9" w:rsidRPr="00337D77">
        <w:rPr>
          <w:snapToGrid w:val="0"/>
          <w:sz w:val="28"/>
          <w:szCs w:val="28"/>
          <w:lang w:val="ru-RU"/>
        </w:rPr>
        <w:t xml:space="preserve">, </w:t>
      </w:r>
      <w:r w:rsidRPr="00337D77">
        <w:rPr>
          <w:snapToGrid w:val="0"/>
          <w:sz w:val="28"/>
          <w:szCs w:val="28"/>
          <w:lang w:val="ru-RU"/>
        </w:rPr>
        <w:t xml:space="preserve">внутримышечно </w:t>
      </w:r>
      <w:r w:rsidR="00ED75D9" w:rsidRPr="00337D77">
        <w:rPr>
          <w:snapToGrid w:val="0"/>
          <w:sz w:val="28"/>
          <w:szCs w:val="28"/>
          <w:lang w:val="ru-RU"/>
        </w:rPr>
        <w:t xml:space="preserve">или внутривенно, </w:t>
      </w:r>
      <w:r w:rsidRPr="00337D77">
        <w:rPr>
          <w:snapToGrid w:val="0"/>
          <w:sz w:val="28"/>
          <w:szCs w:val="28"/>
          <w:lang w:val="ru-RU"/>
        </w:rPr>
        <w:t xml:space="preserve">в течение 15-20 дней. 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Полный курс лечения следует повторять не менее 2 раз в год.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ab/>
        <w:t>В зависимости от результатов клинико-диагностического обследования пациента, по усмотрению врача режим дозирования может быть измен</w:t>
      </w:r>
      <w:r w:rsidR="000466F8" w:rsidRPr="00337D77">
        <w:rPr>
          <w:sz w:val="28"/>
          <w:szCs w:val="28"/>
          <w:lang w:val="ru-RU"/>
        </w:rPr>
        <w:t>ё</w:t>
      </w:r>
      <w:r w:rsidRPr="00337D77">
        <w:rPr>
          <w:sz w:val="28"/>
          <w:szCs w:val="28"/>
          <w:lang w:val="ru-RU"/>
        </w:rPr>
        <w:t>н.</w:t>
      </w:r>
    </w:p>
    <w:p w:rsidR="00EE700D" w:rsidRPr="00337D77" w:rsidRDefault="00EE700D" w:rsidP="00EC3F47">
      <w:pPr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Побочное действие</w:t>
      </w:r>
    </w:p>
    <w:p w:rsidR="009F770F" w:rsidRPr="009F770F" w:rsidRDefault="009F770F" w:rsidP="009F770F">
      <w:pPr>
        <w:ind w:right="170"/>
        <w:jc w:val="both"/>
        <w:rPr>
          <w:sz w:val="28"/>
          <w:szCs w:val="28"/>
          <w:u w:val="single"/>
          <w:lang w:val="ru-RU"/>
        </w:rPr>
      </w:pPr>
      <w:r w:rsidRPr="009F770F">
        <w:rPr>
          <w:sz w:val="28"/>
          <w:szCs w:val="28"/>
          <w:u w:val="single"/>
          <w:lang w:val="ru-RU"/>
        </w:rPr>
        <w:t>По данным клинических исследований</w:t>
      </w:r>
    </w:p>
    <w:p w:rsidR="009F770F" w:rsidRPr="009F770F" w:rsidRDefault="009F770F" w:rsidP="009F770F">
      <w:pPr>
        <w:ind w:right="170"/>
        <w:jc w:val="both"/>
        <w:rPr>
          <w:sz w:val="28"/>
          <w:szCs w:val="28"/>
          <w:lang w:val="ru-RU"/>
        </w:rPr>
      </w:pPr>
      <w:r w:rsidRPr="009F770F">
        <w:rPr>
          <w:sz w:val="28"/>
          <w:szCs w:val="28"/>
          <w:lang w:val="ru-RU"/>
        </w:rPr>
        <w:t>Данные о частоте развития нежелательных лекарственных реакций, связанных с применением сулодексида, были получены в ходе клинических исследований с участием пациентов, проходивших лечение стандартными дозами препарата при обычной продолжительности курса терапии.</w:t>
      </w:r>
    </w:p>
    <w:p w:rsidR="009F770F" w:rsidRPr="009F770F" w:rsidRDefault="009F770F" w:rsidP="009F770F">
      <w:pPr>
        <w:ind w:right="170"/>
        <w:jc w:val="both"/>
        <w:rPr>
          <w:sz w:val="28"/>
          <w:szCs w:val="28"/>
          <w:lang w:val="ru-RU"/>
        </w:rPr>
      </w:pPr>
      <w:r w:rsidRPr="009F770F">
        <w:rPr>
          <w:sz w:val="28"/>
          <w:szCs w:val="28"/>
          <w:lang w:val="ru-RU"/>
        </w:rPr>
        <w:t xml:space="preserve">Нежелательные реакции, связанные с применением сулодексида, были классифицированы по системно-органному классу и распределены по частоте возникновения в следующем порядке: очень часто (≥ 1/10), часто (≥ 1/100 до </w:t>
      </w:r>
      <w:r>
        <w:rPr>
          <w:sz w:val="28"/>
          <w:szCs w:val="28"/>
          <w:lang w:val="ru-RU"/>
        </w:rPr>
        <w:br/>
      </w:r>
      <w:proofErr w:type="gramStart"/>
      <w:r w:rsidRPr="009F770F">
        <w:rPr>
          <w:sz w:val="28"/>
          <w:szCs w:val="28"/>
          <w:lang w:val="ru-RU"/>
        </w:rPr>
        <w:t>&lt; 1</w:t>
      </w:r>
      <w:proofErr w:type="gramEnd"/>
      <w:r w:rsidRPr="009F770F">
        <w:rPr>
          <w:sz w:val="28"/>
          <w:szCs w:val="28"/>
          <w:lang w:val="ru-RU"/>
        </w:rPr>
        <w:t>/10), нечасто (≥ 1/1000 до &lt; 1/100), редко (≥ 1/10000 до &lt; 1/1000), очень редко (&lt; 1/10000).</w:t>
      </w:r>
    </w:p>
    <w:p w:rsidR="009F770F" w:rsidRPr="009F770F" w:rsidRDefault="009F770F" w:rsidP="009F770F">
      <w:pPr>
        <w:jc w:val="both"/>
        <w:rPr>
          <w:sz w:val="28"/>
          <w:szCs w:val="28"/>
          <w:lang w:val="ru-RU"/>
        </w:rPr>
      </w:pPr>
      <w:r w:rsidRPr="009F770F">
        <w:rPr>
          <w:i/>
          <w:sz w:val="28"/>
          <w:szCs w:val="28"/>
          <w:lang w:val="ru-RU"/>
        </w:rPr>
        <w:t xml:space="preserve">Нервная система: нечасто – </w:t>
      </w:r>
      <w:r w:rsidRPr="009F770F">
        <w:rPr>
          <w:sz w:val="28"/>
          <w:szCs w:val="28"/>
          <w:lang w:val="ru-RU"/>
        </w:rPr>
        <w:t xml:space="preserve">головная боль, </w:t>
      </w:r>
      <w:r w:rsidRPr="009F770F">
        <w:rPr>
          <w:i/>
          <w:sz w:val="28"/>
          <w:szCs w:val="28"/>
          <w:lang w:val="ru-RU"/>
        </w:rPr>
        <w:t xml:space="preserve">очень редко </w:t>
      </w:r>
      <w:r w:rsidRPr="009F770F">
        <w:rPr>
          <w:sz w:val="28"/>
          <w:szCs w:val="28"/>
          <w:lang w:val="ru-RU"/>
        </w:rPr>
        <w:t>– потеря сознания.</w:t>
      </w:r>
    </w:p>
    <w:p w:rsidR="009F770F" w:rsidRPr="009F770F" w:rsidRDefault="009F770F" w:rsidP="009F770F">
      <w:pPr>
        <w:jc w:val="both"/>
        <w:rPr>
          <w:sz w:val="28"/>
          <w:szCs w:val="28"/>
          <w:lang w:val="ru-RU"/>
        </w:rPr>
      </w:pPr>
      <w:r w:rsidRPr="009F770F">
        <w:rPr>
          <w:i/>
          <w:sz w:val="28"/>
          <w:szCs w:val="28"/>
          <w:lang w:val="ru-RU"/>
        </w:rPr>
        <w:t>Орган слуха: часто</w:t>
      </w:r>
      <w:r w:rsidRPr="009F770F">
        <w:rPr>
          <w:sz w:val="28"/>
          <w:szCs w:val="28"/>
          <w:lang w:val="ru-RU"/>
        </w:rPr>
        <w:t xml:space="preserve"> – головокружение.</w:t>
      </w:r>
    </w:p>
    <w:p w:rsidR="009F770F" w:rsidRPr="009F770F" w:rsidRDefault="009F770F" w:rsidP="009F770F">
      <w:pPr>
        <w:jc w:val="both"/>
        <w:rPr>
          <w:sz w:val="28"/>
          <w:szCs w:val="28"/>
          <w:lang w:val="ru-RU"/>
        </w:rPr>
      </w:pPr>
      <w:r w:rsidRPr="009F770F">
        <w:rPr>
          <w:i/>
          <w:sz w:val="28"/>
          <w:szCs w:val="28"/>
          <w:lang w:val="ru-RU"/>
        </w:rPr>
        <w:t>Желудочно-кишечный тракт: часто</w:t>
      </w:r>
      <w:r w:rsidRPr="009F770F">
        <w:rPr>
          <w:sz w:val="28"/>
          <w:szCs w:val="28"/>
          <w:lang w:val="ru-RU"/>
        </w:rPr>
        <w:t xml:space="preserve"> – боль в верхней части живота, диарея, тошнота, </w:t>
      </w:r>
      <w:r w:rsidRPr="009F770F">
        <w:rPr>
          <w:i/>
          <w:sz w:val="28"/>
          <w:szCs w:val="28"/>
          <w:lang w:val="ru-RU"/>
        </w:rPr>
        <w:t xml:space="preserve">нечасто – </w:t>
      </w:r>
      <w:r w:rsidRPr="009F770F">
        <w:rPr>
          <w:sz w:val="28"/>
          <w:szCs w:val="28"/>
          <w:lang w:val="ru-RU"/>
        </w:rPr>
        <w:t xml:space="preserve">ощущение дискомфорта в животе, диспепсия, метеоризм, рвота, </w:t>
      </w:r>
      <w:r w:rsidRPr="009F770F">
        <w:rPr>
          <w:i/>
          <w:sz w:val="28"/>
          <w:szCs w:val="28"/>
          <w:lang w:val="ru-RU"/>
        </w:rPr>
        <w:t>очень редко</w:t>
      </w:r>
      <w:r w:rsidRPr="009F770F">
        <w:rPr>
          <w:sz w:val="28"/>
          <w:szCs w:val="28"/>
          <w:lang w:val="ru-RU"/>
        </w:rPr>
        <w:t xml:space="preserve"> – желудочное кровотечение.</w:t>
      </w:r>
    </w:p>
    <w:p w:rsidR="009F770F" w:rsidRPr="009F770F" w:rsidRDefault="009F770F" w:rsidP="009F770F">
      <w:pPr>
        <w:jc w:val="both"/>
        <w:rPr>
          <w:sz w:val="28"/>
          <w:szCs w:val="28"/>
          <w:lang w:val="ru-RU"/>
        </w:rPr>
      </w:pPr>
      <w:r w:rsidRPr="009F770F">
        <w:rPr>
          <w:i/>
          <w:sz w:val="28"/>
          <w:szCs w:val="28"/>
          <w:lang w:val="ru-RU"/>
        </w:rPr>
        <w:t>Аллергические реакции:</w:t>
      </w:r>
      <w:r w:rsidRPr="009F770F">
        <w:rPr>
          <w:sz w:val="28"/>
          <w:szCs w:val="28"/>
          <w:lang w:val="ru-RU"/>
        </w:rPr>
        <w:t xml:space="preserve"> </w:t>
      </w:r>
      <w:r w:rsidRPr="009F770F">
        <w:rPr>
          <w:i/>
          <w:sz w:val="28"/>
          <w:szCs w:val="28"/>
          <w:lang w:val="ru-RU"/>
        </w:rPr>
        <w:t>часто</w:t>
      </w:r>
      <w:r w:rsidRPr="009F770F">
        <w:rPr>
          <w:sz w:val="28"/>
          <w:szCs w:val="28"/>
          <w:lang w:val="ru-RU"/>
        </w:rPr>
        <w:t xml:space="preserve"> – кожная сыпь различной локализации, </w:t>
      </w:r>
      <w:r w:rsidRPr="009F770F">
        <w:rPr>
          <w:i/>
          <w:sz w:val="28"/>
          <w:szCs w:val="28"/>
          <w:lang w:val="ru-RU"/>
        </w:rPr>
        <w:t>нечасто</w:t>
      </w:r>
      <w:r w:rsidRPr="009F770F">
        <w:rPr>
          <w:sz w:val="28"/>
          <w:szCs w:val="28"/>
          <w:lang w:val="ru-RU"/>
        </w:rPr>
        <w:t xml:space="preserve"> – экзема, эритема, крапивница. </w:t>
      </w:r>
    </w:p>
    <w:p w:rsidR="009F770F" w:rsidRPr="009F770F" w:rsidRDefault="009F770F" w:rsidP="009F770F">
      <w:pPr>
        <w:ind w:right="170"/>
        <w:jc w:val="both"/>
        <w:rPr>
          <w:sz w:val="28"/>
          <w:szCs w:val="28"/>
          <w:u w:val="single"/>
          <w:lang w:val="ru-RU"/>
        </w:rPr>
      </w:pPr>
      <w:r w:rsidRPr="009F770F">
        <w:rPr>
          <w:sz w:val="28"/>
          <w:szCs w:val="28"/>
          <w:u w:val="single"/>
          <w:lang w:val="ru-RU"/>
        </w:rPr>
        <w:t>По данным пострегистрационных наблюдений</w:t>
      </w:r>
      <w:r w:rsidRPr="009F770F">
        <w:rPr>
          <w:sz w:val="28"/>
          <w:szCs w:val="28"/>
          <w:lang w:val="ru-RU"/>
        </w:rPr>
        <w:t>.</w:t>
      </w:r>
    </w:p>
    <w:p w:rsidR="009F770F" w:rsidRPr="009F770F" w:rsidRDefault="009F770F" w:rsidP="009F770F">
      <w:pPr>
        <w:ind w:right="170"/>
        <w:jc w:val="both"/>
        <w:rPr>
          <w:sz w:val="28"/>
          <w:szCs w:val="28"/>
          <w:lang w:val="ru-RU"/>
        </w:rPr>
      </w:pPr>
      <w:r w:rsidRPr="009F770F">
        <w:rPr>
          <w:sz w:val="28"/>
          <w:szCs w:val="28"/>
          <w:lang w:val="ru-RU"/>
        </w:rPr>
        <w:t>В ходе пострегистрационного применения сулодексида были зарегистрированы дополнительные нежелательные явления. Частота данных нежелательных эффектов не может быть оценена в связи с тем, что информация о них поступает в виде спонтанных сообщений. Соответственно, частота этих нежелательных явлений классифицируется как «неизвестная» (не может быть рассчитана на основании имеющихся данных).</w:t>
      </w:r>
    </w:p>
    <w:p w:rsidR="00D97228" w:rsidRPr="00D97228" w:rsidRDefault="009F770F" w:rsidP="00D972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D97228">
        <w:rPr>
          <w:sz w:val="28"/>
          <w:szCs w:val="28"/>
          <w:lang w:val="ru-RU"/>
        </w:rPr>
        <w:t xml:space="preserve">немия, нарушения метаболизма плазменных белков, расстройства желудочно-кишечного тракта, мелена, </w:t>
      </w:r>
      <w:r w:rsidR="000A4D97">
        <w:rPr>
          <w:sz w:val="28"/>
          <w:szCs w:val="28"/>
          <w:lang w:val="ru-RU"/>
        </w:rPr>
        <w:t>ангионевротический</w:t>
      </w:r>
      <w:r w:rsidR="00D97228">
        <w:rPr>
          <w:sz w:val="28"/>
          <w:szCs w:val="28"/>
          <w:lang w:val="ru-RU"/>
        </w:rPr>
        <w:t xml:space="preserve"> отёк, </w:t>
      </w:r>
      <w:proofErr w:type="spellStart"/>
      <w:r w:rsidR="00D97228">
        <w:rPr>
          <w:sz w:val="28"/>
          <w:szCs w:val="28"/>
          <w:lang w:val="ru-RU"/>
        </w:rPr>
        <w:t>экхимоз</w:t>
      </w:r>
      <w:proofErr w:type="spellEnd"/>
      <w:r w:rsidR="00D97228">
        <w:rPr>
          <w:sz w:val="28"/>
          <w:szCs w:val="28"/>
          <w:lang w:val="ru-RU"/>
        </w:rPr>
        <w:t xml:space="preserve">, генитальный отёк, генитальная эритема, </w:t>
      </w:r>
      <w:proofErr w:type="spellStart"/>
      <w:r w:rsidR="00D97228">
        <w:rPr>
          <w:sz w:val="28"/>
          <w:szCs w:val="28"/>
          <w:lang w:val="ru-RU"/>
        </w:rPr>
        <w:t>полименоррея</w:t>
      </w:r>
      <w:proofErr w:type="spellEnd"/>
      <w:r w:rsidR="00D97228">
        <w:rPr>
          <w:sz w:val="28"/>
          <w:szCs w:val="28"/>
          <w:lang w:val="ru-RU"/>
        </w:rPr>
        <w:t>.</w:t>
      </w:r>
    </w:p>
    <w:p w:rsidR="00497E43" w:rsidRDefault="00497E43" w:rsidP="00EC3F47">
      <w:pPr>
        <w:jc w:val="both"/>
        <w:rPr>
          <w:sz w:val="28"/>
          <w:szCs w:val="28"/>
          <w:lang w:val="ru-RU"/>
        </w:rPr>
      </w:pPr>
    </w:p>
    <w:p w:rsidR="00EE700D" w:rsidRPr="00337D77" w:rsidRDefault="00945B92" w:rsidP="00EC3F47">
      <w:pPr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Передозировка</w:t>
      </w:r>
    </w:p>
    <w:p w:rsidR="004313A5" w:rsidRPr="004313A5" w:rsidRDefault="004313A5" w:rsidP="002C3BC0">
      <w:pPr>
        <w:jc w:val="both"/>
        <w:rPr>
          <w:sz w:val="28"/>
          <w:szCs w:val="28"/>
          <w:lang w:val="ru-RU"/>
        </w:rPr>
      </w:pPr>
      <w:r w:rsidRPr="004313A5">
        <w:rPr>
          <w:sz w:val="28"/>
          <w:szCs w:val="28"/>
          <w:lang w:val="ru-RU"/>
        </w:rPr>
        <w:t>Кровотечение является единственным явлением, которое может возникнуть при передозировке. В случае развития кровотечения необходимо вве</w:t>
      </w:r>
      <w:r w:rsidR="002C3BC0">
        <w:rPr>
          <w:sz w:val="28"/>
          <w:szCs w:val="28"/>
          <w:lang w:val="ru-RU"/>
        </w:rPr>
        <w:t>дение</w:t>
      </w:r>
      <w:r w:rsidRPr="004313A5">
        <w:rPr>
          <w:sz w:val="28"/>
          <w:szCs w:val="28"/>
          <w:lang w:val="ru-RU"/>
        </w:rPr>
        <w:t xml:space="preserve"> протамина сульфат</w:t>
      </w:r>
      <w:r w:rsidR="002C3BC0">
        <w:rPr>
          <w:sz w:val="28"/>
          <w:szCs w:val="28"/>
          <w:lang w:val="ru-RU"/>
        </w:rPr>
        <w:t>а</w:t>
      </w:r>
      <w:r w:rsidRPr="004313A5">
        <w:rPr>
          <w:sz w:val="28"/>
          <w:szCs w:val="28"/>
          <w:lang w:val="ru-RU"/>
        </w:rPr>
        <w:t xml:space="preserve"> (1</w:t>
      </w:r>
      <w:r w:rsidR="002C3BC0">
        <w:rPr>
          <w:sz w:val="28"/>
          <w:szCs w:val="28"/>
          <w:lang w:val="ru-RU"/>
        </w:rPr>
        <w:t xml:space="preserve"> </w:t>
      </w:r>
      <w:r w:rsidRPr="004313A5">
        <w:rPr>
          <w:sz w:val="28"/>
          <w:szCs w:val="28"/>
          <w:lang w:val="ru-RU"/>
        </w:rPr>
        <w:t>% раствор), применяющ</w:t>
      </w:r>
      <w:r w:rsidR="002C3BC0">
        <w:rPr>
          <w:sz w:val="28"/>
          <w:szCs w:val="28"/>
          <w:lang w:val="ru-RU"/>
        </w:rPr>
        <w:t>его</w:t>
      </w:r>
      <w:r w:rsidRPr="004313A5">
        <w:rPr>
          <w:sz w:val="28"/>
          <w:szCs w:val="28"/>
          <w:lang w:val="ru-RU"/>
        </w:rPr>
        <w:t>ся</w:t>
      </w:r>
      <w:r w:rsidR="002C3BC0">
        <w:rPr>
          <w:sz w:val="28"/>
          <w:szCs w:val="28"/>
          <w:lang w:val="ru-RU"/>
        </w:rPr>
        <w:t xml:space="preserve"> при кровотечениях, вызываем</w:t>
      </w:r>
      <w:r w:rsidRPr="004313A5">
        <w:rPr>
          <w:sz w:val="28"/>
          <w:szCs w:val="28"/>
          <w:lang w:val="ru-RU"/>
        </w:rPr>
        <w:t>ых гепарином.</w:t>
      </w:r>
    </w:p>
    <w:p w:rsidR="004313A5" w:rsidRPr="002C3BC0" w:rsidRDefault="004313A5" w:rsidP="00EC3F47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D97228">
      <w:pPr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Взаимодействие с другими лекарственными средствами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Значимого взаимодействия препарата Вессел Дуэ Ф с другими препаратами не установлено. При применении сулодексида не рекомендуется одновременно использовать препар</w:t>
      </w:r>
      <w:r w:rsidR="000466F8" w:rsidRPr="00337D77">
        <w:rPr>
          <w:sz w:val="28"/>
          <w:szCs w:val="28"/>
          <w:lang w:val="ru-RU"/>
        </w:rPr>
        <w:t>а</w:t>
      </w:r>
      <w:r w:rsidRPr="00337D77">
        <w:rPr>
          <w:sz w:val="28"/>
          <w:szCs w:val="28"/>
          <w:lang w:val="ru-RU"/>
        </w:rPr>
        <w:t>ты, влияющие на систему гемостаза в качестве антикоагулянтов (прямых и непрямых).</w:t>
      </w:r>
    </w:p>
    <w:p w:rsidR="00EE700D" w:rsidRDefault="00EE700D" w:rsidP="00EC3F47">
      <w:pPr>
        <w:jc w:val="both"/>
        <w:rPr>
          <w:b/>
          <w:sz w:val="28"/>
          <w:szCs w:val="28"/>
          <w:lang w:val="ru-RU"/>
        </w:rPr>
      </w:pPr>
    </w:p>
    <w:p w:rsidR="004D2D04" w:rsidRDefault="004D2D04" w:rsidP="00EC3F47">
      <w:pPr>
        <w:jc w:val="both"/>
        <w:rPr>
          <w:b/>
          <w:sz w:val="28"/>
          <w:szCs w:val="28"/>
          <w:lang w:val="ru-RU"/>
        </w:rPr>
      </w:pPr>
    </w:p>
    <w:p w:rsidR="004D2D04" w:rsidRPr="00337D77" w:rsidRDefault="004D2D04" w:rsidP="00EC3F47">
      <w:pPr>
        <w:jc w:val="both"/>
        <w:rPr>
          <w:b/>
          <w:sz w:val="28"/>
          <w:szCs w:val="28"/>
          <w:lang w:val="ru-RU"/>
        </w:rPr>
      </w:pPr>
    </w:p>
    <w:p w:rsidR="00EE700D" w:rsidRPr="00337D77" w:rsidRDefault="00EE700D" w:rsidP="00EC3F47">
      <w:pPr>
        <w:jc w:val="both"/>
        <w:rPr>
          <w:b/>
          <w:sz w:val="28"/>
          <w:szCs w:val="28"/>
          <w:lang w:val="ru-RU"/>
        </w:rPr>
      </w:pPr>
      <w:r w:rsidRPr="00337D77">
        <w:rPr>
          <w:b/>
          <w:sz w:val="28"/>
          <w:szCs w:val="28"/>
          <w:lang w:val="ru-RU"/>
        </w:rPr>
        <w:t>Особые указания</w:t>
      </w:r>
    </w:p>
    <w:p w:rsidR="002C3BC0" w:rsidRPr="002C3BC0" w:rsidRDefault="002C3BC0" w:rsidP="002C3BC0">
      <w:pPr>
        <w:jc w:val="both"/>
        <w:rPr>
          <w:sz w:val="28"/>
          <w:szCs w:val="28"/>
          <w:lang w:val="ru-RU"/>
        </w:rPr>
      </w:pPr>
      <w:r w:rsidRPr="002C3BC0">
        <w:rPr>
          <w:sz w:val="28"/>
          <w:szCs w:val="28"/>
          <w:lang w:val="ru-RU"/>
        </w:rPr>
        <w:t xml:space="preserve">Благодаря </w:t>
      </w:r>
      <w:proofErr w:type="spellStart"/>
      <w:r w:rsidRPr="002C3BC0">
        <w:rPr>
          <w:sz w:val="28"/>
          <w:szCs w:val="28"/>
          <w:lang w:val="ru-RU"/>
        </w:rPr>
        <w:t>фармако</w:t>
      </w:r>
      <w:proofErr w:type="spellEnd"/>
      <w:r w:rsidRPr="002C3BC0">
        <w:rPr>
          <w:sz w:val="28"/>
          <w:szCs w:val="28"/>
          <w:lang w:val="ru-RU"/>
        </w:rPr>
        <w:t xml:space="preserve">-токсикологическим свойствам </w:t>
      </w:r>
      <w:r>
        <w:rPr>
          <w:sz w:val="28"/>
          <w:szCs w:val="28"/>
          <w:lang w:val="ru-RU"/>
        </w:rPr>
        <w:t>с</w:t>
      </w:r>
      <w:r w:rsidRPr="002C3BC0">
        <w:rPr>
          <w:sz w:val="28"/>
          <w:szCs w:val="28"/>
          <w:lang w:val="ru-RU"/>
        </w:rPr>
        <w:t xml:space="preserve">улодексида, применение препарата не требует особых мер предосторожности. Тем не менее, при </w:t>
      </w:r>
      <w:r w:rsidR="005820B3">
        <w:rPr>
          <w:sz w:val="28"/>
          <w:szCs w:val="28"/>
          <w:lang w:val="ru-RU"/>
        </w:rPr>
        <w:t xml:space="preserve">совместном </w:t>
      </w:r>
      <w:r w:rsidRPr="002C3BC0">
        <w:rPr>
          <w:sz w:val="28"/>
          <w:szCs w:val="28"/>
          <w:lang w:val="ru-RU"/>
        </w:rPr>
        <w:t xml:space="preserve">применении </w:t>
      </w:r>
      <w:r w:rsidR="005820B3">
        <w:rPr>
          <w:sz w:val="28"/>
          <w:szCs w:val="28"/>
          <w:lang w:val="ru-RU"/>
        </w:rPr>
        <w:t xml:space="preserve">с другими </w:t>
      </w:r>
      <w:r w:rsidRPr="002C3BC0">
        <w:rPr>
          <w:sz w:val="28"/>
          <w:szCs w:val="28"/>
          <w:lang w:val="ru-RU"/>
        </w:rPr>
        <w:t>антикоагулянт</w:t>
      </w:r>
      <w:r w:rsidR="005820B3">
        <w:rPr>
          <w:sz w:val="28"/>
          <w:szCs w:val="28"/>
          <w:lang w:val="ru-RU"/>
        </w:rPr>
        <w:t>ами</w:t>
      </w:r>
      <w:r w:rsidRPr="002C3BC0">
        <w:rPr>
          <w:sz w:val="28"/>
          <w:szCs w:val="28"/>
          <w:lang w:val="ru-RU"/>
        </w:rPr>
        <w:t xml:space="preserve"> следует периодически контролировать показатели св</w:t>
      </w:r>
      <w:r>
        <w:rPr>
          <w:sz w:val="28"/>
          <w:szCs w:val="28"/>
          <w:lang w:val="ru-RU"/>
        </w:rPr>
        <w:t>ё</w:t>
      </w:r>
      <w:r w:rsidRPr="002C3BC0">
        <w:rPr>
          <w:sz w:val="28"/>
          <w:szCs w:val="28"/>
          <w:lang w:val="ru-RU"/>
        </w:rPr>
        <w:t>ртываемости крови.</w:t>
      </w:r>
    </w:p>
    <w:p w:rsidR="002C3BC0" w:rsidRPr="002C3BC0" w:rsidRDefault="002C3BC0" w:rsidP="002C3BC0">
      <w:pPr>
        <w:jc w:val="both"/>
        <w:rPr>
          <w:sz w:val="28"/>
          <w:szCs w:val="28"/>
          <w:lang w:val="ru-RU"/>
        </w:rPr>
      </w:pPr>
    </w:p>
    <w:p w:rsidR="009E5C96" w:rsidRPr="00337D77" w:rsidRDefault="009E5C96" w:rsidP="00EC3F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7D77">
        <w:rPr>
          <w:rFonts w:ascii="Times New Roman" w:hAnsi="Times New Roman"/>
          <w:sz w:val="28"/>
          <w:szCs w:val="28"/>
        </w:rPr>
        <w:t>Влияние на способность управлять транспортными средствами и механизмами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 xml:space="preserve">На способность </w:t>
      </w:r>
      <w:r w:rsidR="009E5C96" w:rsidRPr="00337D77">
        <w:rPr>
          <w:sz w:val="28"/>
          <w:szCs w:val="28"/>
          <w:lang w:val="ru-RU"/>
        </w:rPr>
        <w:t xml:space="preserve">управлять транспортными средствами и механизмами </w:t>
      </w:r>
      <w:r w:rsidRPr="00337D77">
        <w:rPr>
          <w:sz w:val="28"/>
          <w:szCs w:val="28"/>
          <w:lang w:val="ru-RU"/>
        </w:rPr>
        <w:t xml:space="preserve">препарат </w:t>
      </w:r>
      <w:r w:rsidR="00347702" w:rsidRPr="00337D77">
        <w:rPr>
          <w:sz w:val="28"/>
          <w:szCs w:val="28"/>
          <w:lang w:val="ru-RU"/>
        </w:rPr>
        <w:t xml:space="preserve">Вессел Дуэ Ф </w:t>
      </w:r>
      <w:r w:rsidRPr="00337D77">
        <w:rPr>
          <w:sz w:val="28"/>
          <w:szCs w:val="28"/>
          <w:lang w:val="ru-RU"/>
        </w:rPr>
        <w:t>не влияет.</w:t>
      </w:r>
    </w:p>
    <w:p w:rsidR="002C3BC0" w:rsidRPr="00337D77" w:rsidRDefault="002C3BC0" w:rsidP="00EC3F47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7D77">
        <w:rPr>
          <w:rFonts w:ascii="Times New Roman" w:hAnsi="Times New Roman"/>
          <w:sz w:val="28"/>
          <w:szCs w:val="28"/>
        </w:rPr>
        <w:t>Форма выпуска</w:t>
      </w:r>
    </w:p>
    <w:p w:rsidR="005064E7" w:rsidRPr="00497E43" w:rsidRDefault="004150F0" w:rsidP="00497E43">
      <w:pPr>
        <w:jc w:val="both"/>
        <w:rPr>
          <w:sz w:val="28"/>
          <w:szCs w:val="28"/>
          <w:lang w:val="ru-RU"/>
        </w:rPr>
      </w:pPr>
      <w:r w:rsidRPr="00497E43">
        <w:rPr>
          <w:sz w:val="28"/>
          <w:szCs w:val="28"/>
          <w:lang w:val="ru-RU"/>
        </w:rPr>
        <w:t>Капсулы</w:t>
      </w:r>
      <w:r w:rsidR="009E5C96" w:rsidRPr="00337D77">
        <w:rPr>
          <w:sz w:val="28"/>
          <w:szCs w:val="28"/>
          <w:lang w:val="ru-RU"/>
        </w:rPr>
        <w:t xml:space="preserve"> </w:t>
      </w:r>
      <w:r w:rsidRPr="00497E43">
        <w:rPr>
          <w:sz w:val="28"/>
          <w:szCs w:val="28"/>
          <w:lang w:val="ru-RU"/>
        </w:rPr>
        <w:t>25</w:t>
      </w:r>
      <w:r w:rsidR="009E5C96" w:rsidRPr="00337D77">
        <w:rPr>
          <w:sz w:val="28"/>
          <w:szCs w:val="28"/>
          <w:lang w:val="ru-RU"/>
        </w:rPr>
        <w:t>0 ЛЕ.</w:t>
      </w:r>
    </w:p>
    <w:p w:rsidR="005064E7" w:rsidRDefault="00497E43" w:rsidP="00497E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97E43">
        <w:rPr>
          <w:sz w:val="28"/>
          <w:szCs w:val="28"/>
          <w:lang w:val="ru-RU"/>
        </w:rPr>
        <w:t>о 20 или 25 капсул в блистеры из ПВХ/ПВДХ основы и алюминиевой пл</w:t>
      </w:r>
      <w:r>
        <w:rPr>
          <w:sz w:val="28"/>
          <w:szCs w:val="28"/>
          <w:lang w:val="ru-RU"/>
        </w:rPr>
        <w:t>ё</w:t>
      </w:r>
      <w:r w:rsidRPr="00497E43">
        <w:rPr>
          <w:sz w:val="28"/>
          <w:szCs w:val="28"/>
          <w:lang w:val="ru-RU"/>
        </w:rPr>
        <w:t>нки со слоем-покрытием прозрачного ПВДХ;</w:t>
      </w:r>
      <w:r>
        <w:rPr>
          <w:sz w:val="28"/>
          <w:szCs w:val="28"/>
          <w:lang w:val="ru-RU"/>
        </w:rPr>
        <w:t xml:space="preserve"> </w:t>
      </w:r>
      <w:r w:rsidRPr="00497E43">
        <w:rPr>
          <w:sz w:val="28"/>
          <w:szCs w:val="28"/>
          <w:lang w:val="ru-RU"/>
        </w:rPr>
        <w:t xml:space="preserve">по 3 блистера по 20 капсул или </w:t>
      </w:r>
      <w:r w:rsidR="002C3BC0">
        <w:rPr>
          <w:sz w:val="28"/>
          <w:szCs w:val="28"/>
          <w:lang w:val="ru-RU"/>
        </w:rPr>
        <w:br/>
      </w:r>
      <w:r w:rsidRPr="00497E43">
        <w:rPr>
          <w:sz w:val="28"/>
          <w:szCs w:val="28"/>
          <w:lang w:val="ru-RU"/>
        </w:rPr>
        <w:t>по 2 или 4 блистера по 25 капсул вместе с инструкцией по применению помещают в пачку из картона.</w:t>
      </w:r>
    </w:p>
    <w:p w:rsidR="00497E43" w:rsidRPr="00497E43" w:rsidRDefault="00497E43" w:rsidP="00497E43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337D77">
        <w:rPr>
          <w:rFonts w:ascii="Times New Roman" w:hAnsi="Times New Roman"/>
          <w:sz w:val="28"/>
          <w:szCs w:val="28"/>
        </w:rPr>
        <w:t>Условия хранения</w:t>
      </w:r>
    </w:p>
    <w:p w:rsidR="00EE700D" w:rsidRPr="00337D7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337D77">
        <w:rPr>
          <w:rFonts w:ascii="Times New Roman" w:hAnsi="Times New Roman"/>
          <w:b w:val="0"/>
          <w:sz w:val="28"/>
          <w:szCs w:val="28"/>
        </w:rPr>
        <w:t>При температуре не выше 30</w:t>
      </w:r>
      <w:r w:rsidR="002505DF">
        <w:rPr>
          <w:rFonts w:ascii="Times New Roman" w:hAnsi="Times New Roman"/>
          <w:b w:val="0"/>
          <w:sz w:val="28"/>
          <w:szCs w:val="28"/>
        </w:rPr>
        <w:t xml:space="preserve"> </w:t>
      </w:r>
      <w:r w:rsidRPr="00337D77">
        <w:rPr>
          <w:rFonts w:ascii="Times New Roman" w:hAnsi="Times New Roman"/>
          <w:b w:val="0"/>
          <w:sz w:val="28"/>
          <w:szCs w:val="28"/>
        </w:rPr>
        <w:sym w:font="Symbol" w:char="F0B0"/>
      </w:r>
      <w:r w:rsidRPr="00337D77">
        <w:rPr>
          <w:rFonts w:ascii="Times New Roman" w:hAnsi="Times New Roman"/>
          <w:b w:val="0"/>
          <w:sz w:val="28"/>
          <w:szCs w:val="28"/>
        </w:rPr>
        <w:t>С.</w:t>
      </w:r>
    </w:p>
    <w:p w:rsidR="00EE700D" w:rsidRPr="00337D77" w:rsidRDefault="00EE700D" w:rsidP="00EC3F47">
      <w:pPr>
        <w:jc w:val="both"/>
        <w:rPr>
          <w:snapToGrid w:val="0"/>
          <w:sz w:val="28"/>
          <w:szCs w:val="28"/>
          <w:lang w:val="ru-RU"/>
        </w:rPr>
      </w:pPr>
      <w:r w:rsidRPr="00337D77">
        <w:rPr>
          <w:snapToGrid w:val="0"/>
          <w:sz w:val="28"/>
          <w:szCs w:val="28"/>
          <w:lang w:val="ru-RU"/>
        </w:rPr>
        <w:t>Хранить в недоступном для детей месте!</w:t>
      </w:r>
    </w:p>
    <w:p w:rsidR="00EE700D" w:rsidRPr="00337D77" w:rsidRDefault="00EE700D" w:rsidP="00EC3F47">
      <w:pPr>
        <w:jc w:val="both"/>
        <w:rPr>
          <w:b/>
          <w:sz w:val="28"/>
          <w:szCs w:val="28"/>
          <w:lang w:val="ru-RU"/>
        </w:rPr>
      </w:pPr>
    </w:p>
    <w:p w:rsidR="00EE700D" w:rsidRPr="00337D77" w:rsidRDefault="00EE700D" w:rsidP="00EC3F47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337D77">
        <w:rPr>
          <w:rFonts w:ascii="Times New Roman" w:hAnsi="Times New Roman"/>
          <w:snapToGrid w:val="0"/>
          <w:sz w:val="28"/>
          <w:szCs w:val="28"/>
        </w:rPr>
        <w:t xml:space="preserve">Срок годности </w:t>
      </w:r>
    </w:p>
    <w:p w:rsidR="00EE700D" w:rsidRPr="00337D77" w:rsidRDefault="00EE700D" w:rsidP="00EC3F4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337D77">
        <w:rPr>
          <w:rFonts w:ascii="Times New Roman" w:hAnsi="Times New Roman"/>
          <w:b w:val="0"/>
          <w:sz w:val="28"/>
          <w:szCs w:val="28"/>
        </w:rPr>
        <w:t>5 лет</w:t>
      </w:r>
    </w:p>
    <w:p w:rsidR="00EE700D" w:rsidRPr="00337D77" w:rsidRDefault="00EE700D" w:rsidP="00EC3F47">
      <w:pPr>
        <w:jc w:val="both"/>
        <w:rPr>
          <w:snapToGrid w:val="0"/>
          <w:sz w:val="28"/>
          <w:szCs w:val="28"/>
          <w:lang w:val="ru-RU"/>
        </w:rPr>
      </w:pPr>
      <w:r w:rsidRPr="00337D77">
        <w:rPr>
          <w:snapToGrid w:val="0"/>
          <w:sz w:val="28"/>
          <w:szCs w:val="28"/>
          <w:lang w:val="ru-RU"/>
        </w:rPr>
        <w:t xml:space="preserve">Не использовать по истечении </w:t>
      </w:r>
      <w:r w:rsidR="005064E7" w:rsidRPr="00337D77">
        <w:rPr>
          <w:snapToGrid w:val="0"/>
          <w:sz w:val="28"/>
          <w:szCs w:val="28"/>
          <w:lang w:val="ru-RU"/>
        </w:rPr>
        <w:t>срока годности!</w:t>
      </w:r>
    </w:p>
    <w:p w:rsidR="00EE700D" w:rsidRPr="00337D77" w:rsidRDefault="00EE700D" w:rsidP="00EC3F47">
      <w:pPr>
        <w:jc w:val="both"/>
        <w:rPr>
          <w:b/>
          <w:snapToGrid w:val="0"/>
          <w:sz w:val="28"/>
          <w:szCs w:val="28"/>
          <w:lang w:val="ru-RU"/>
        </w:rPr>
      </w:pPr>
    </w:p>
    <w:p w:rsidR="00EE700D" w:rsidRPr="00337D77" w:rsidRDefault="00603DDA" w:rsidP="00EC3F47">
      <w:pPr>
        <w:pStyle w:val="a6"/>
        <w:rPr>
          <w:szCs w:val="28"/>
          <w:lang w:val="ru-RU"/>
        </w:rPr>
      </w:pPr>
      <w:r w:rsidRPr="00337D77">
        <w:rPr>
          <w:szCs w:val="28"/>
          <w:lang w:val="ru-RU"/>
        </w:rPr>
        <w:t>Условия отпуска</w:t>
      </w:r>
    </w:p>
    <w:p w:rsidR="00EE700D" w:rsidRDefault="00603DDA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Отпускают п</w:t>
      </w:r>
      <w:r w:rsidR="00EE700D" w:rsidRPr="00337D77">
        <w:rPr>
          <w:sz w:val="28"/>
          <w:szCs w:val="28"/>
          <w:lang w:val="ru-RU"/>
        </w:rPr>
        <w:t>о рецепту</w:t>
      </w:r>
      <w:r w:rsidR="00ED75D9" w:rsidRPr="00337D77">
        <w:rPr>
          <w:sz w:val="28"/>
          <w:szCs w:val="28"/>
          <w:lang w:val="ru-RU"/>
        </w:rPr>
        <w:t>.</w:t>
      </w:r>
    </w:p>
    <w:p w:rsidR="002C3BC0" w:rsidRPr="00337D77" w:rsidRDefault="002C3BC0" w:rsidP="00EC3F47">
      <w:pPr>
        <w:jc w:val="both"/>
        <w:rPr>
          <w:sz w:val="28"/>
          <w:szCs w:val="28"/>
          <w:lang w:val="ru-RU"/>
        </w:rPr>
      </w:pPr>
    </w:p>
    <w:p w:rsidR="00EE700D" w:rsidRPr="00337D77" w:rsidRDefault="00EE700D" w:rsidP="00EC3F47">
      <w:pPr>
        <w:pStyle w:val="a6"/>
        <w:rPr>
          <w:szCs w:val="28"/>
          <w:lang w:val="ru-RU"/>
        </w:rPr>
      </w:pPr>
      <w:r w:rsidRPr="00337D77">
        <w:rPr>
          <w:szCs w:val="28"/>
          <w:lang w:val="ru-RU"/>
        </w:rPr>
        <w:t>Произв</w:t>
      </w:r>
      <w:r w:rsidR="00787D89" w:rsidRPr="00337D77">
        <w:rPr>
          <w:szCs w:val="28"/>
          <w:lang w:val="ru-RU"/>
        </w:rPr>
        <w:t>одитель</w:t>
      </w:r>
    </w:p>
    <w:p w:rsidR="00EE700D" w:rsidRPr="00337D77" w:rsidRDefault="00EE700D" w:rsidP="00EC3F47">
      <w:pPr>
        <w:jc w:val="both"/>
        <w:rPr>
          <w:sz w:val="28"/>
          <w:szCs w:val="28"/>
          <w:lang w:val="ru-RU"/>
        </w:rPr>
      </w:pPr>
      <w:r w:rsidRPr="00337D77">
        <w:rPr>
          <w:sz w:val="28"/>
          <w:szCs w:val="28"/>
          <w:lang w:val="ru-RU"/>
        </w:rPr>
        <w:t>Альфа Вассерман</w:t>
      </w:r>
      <w:r w:rsidR="002C3BC0">
        <w:rPr>
          <w:sz w:val="28"/>
          <w:szCs w:val="28"/>
          <w:lang w:val="ru-RU"/>
        </w:rPr>
        <w:t>н</w:t>
      </w:r>
      <w:r w:rsidRPr="00337D77">
        <w:rPr>
          <w:sz w:val="28"/>
          <w:szCs w:val="28"/>
          <w:lang w:val="ru-RU"/>
        </w:rPr>
        <w:t xml:space="preserve"> </w:t>
      </w:r>
      <w:proofErr w:type="spellStart"/>
      <w:r w:rsidRPr="00337D77">
        <w:rPr>
          <w:sz w:val="28"/>
          <w:szCs w:val="28"/>
          <w:lang w:val="ru-RU"/>
        </w:rPr>
        <w:t>С.п.А</w:t>
      </w:r>
      <w:proofErr w:type="spellEnd"/>
      <w:r w:rsidR="00787D89" w:rsidRPr="00337D77">
        <w:rPr>
          <w:sz w:val="28"/>
          <w:szCs w:val="28"/>
          <w:lang w:val="ru-RU"/>
        </w:rPr>
        <w:t>.</w:t>
      </w:r>
      <w:r w:rsidRPr="00337D77">
        <w:rPr>
          <w:sz w:val="28"/>
          <w:szCs w:val="28"/>
          <w:lang w:val="ru-RU"/>
        </w:rPr>
        <w:t>, Италия</w:t>
      </w:r>
    </w:p>
    <w:p w:rsidR="00603DDA" w:rsidRPr="00337D77" w:rsidRDefault="00603DDA" w:rsidP="00EC3F47">
      <w:pPr>
        <w:jc w:val="both"/>
        <w:rPr>
          <w:rStyle w:val="s0"/>
          <w:sz w:val="28"/>
          <w:szCs w:val="28"/>
          <w:lang w:val="ru-RU"/>
        </w:rPr>
      </w:pPr>
      <w:proofErr w:type="spellStart"/>
      <w:r w:rsidRPr="00337D77">
        <w:rPr>
          <w:sz w:val="28"/>
          <w:szCs w:val="28"/>
          <w:lang w:val="ru-RU"/>
        </w:rPr>
        <w:t>Виа</w:t>
      </w:r>
      <w:proofErr w:type="spellEnd"/>
      <w:r w:rsidRPr="00337D77">
        <w:rPr>
          <w:sz w:val="28"/>
          <w:szCs w:val="28"/>
          <w:lang w:val="ru-RU"/>
        </w:rPr>
        <w:t xml:space="preserve"> Э. Ферми 1, 65020 Аланно (Пескара), Италия / </w:t>
      </w:r>
      <w:proofErr w:type="spellStart"/>
      <w:r w:rsidRPr="00337D77">
        <w:rPr>
          <w:sz w:val="28"/>
          <w:szCs w:val="28"/>
          <w:lang w:val="ru-RU"/>
        </w:rPr>
        <w:t>Via</w:t>
      </w:r>
      <w:proofErr w:type="spellEnd"/>
      <w:r w:rsidRPr="00337D77">
        <w:rPr>
          <w:sz w:val="28"/>
          <w:szCs w:val="28"/>
          <w:lang w:val="ru-RU"/>
        </w:rPr>
        <w:t xml:space="preserve"> E. </w:t>
      </w:r>
      <w:proofErr w:type="spellStart"/>
      <w:r w:rsidRPr="00337D77">
        <w:rPr>
          <w:sz w:val="28"/>
          <w:szCs w:val="28"/>
          <w:lang w:val="ru-RU"/>
        </w:rPr>
        <w:t>Fermi</w:t>
      </w:r>
      <w:proofErr w:type="spellEnd"/>
      <w:r w:rsidRPr="00337D77">
        <w:rPr>
          <w:sz w:val="28"/>
          <w:szCs w:val="28"/>
          <w:lang w:val="ru-RU"/>
        </w:rPr>
        <w:t xml:space="preserve"> 1, 65020 Alanno (</w:t>
      </w:r>
      <w:proofErr w:type="spellStart"/>
      <w:r w:rsidRPr="00337D77">
        <w:rPr>
          <w:sz w:val="28"/>
          <w:szCs w:val="28"/>
          <w:lang w:val="ru-RU"/>
        </w:rPr>
        <w:t>Pescara</w:t>
      </w:r>
      <w:proofErr w:type="spellEnd"/>
      <w:r w:rsidRPr="00337D77">
        <w:rPr>
          <w:sz w:val="28"/>
          <w:szCs w:val="28"/>
          <w:lang w:val="ru-RU"/>
        </w:rPr>
        <w:t xml:space="preserve">), </w:t>
      </w:r>
      <w:proofErr w:type="spellStart"/>
      <w:r w:rsidRPr="00337D77">
        <w:rPr>
          <w:sz w:val="28"/>
          <w:szCs w:val="28"/>
          <w:lang w:val="ru-RU"/>
        </w:rPr>
        <w:t>Italy</w:t>
      </w:r>
      <w:proofErr w:type="spellEnd"/>
    </w:p>
    <w:p w:rsidR="00603DDA" w:rsidRPr="00337D77" w:rsidRDefault="00603DDA" w:rsidP="00EC3F47">
      <w:pPr>
        <w:pStyle w:val="20"/>
        <w:spacing w:line="240" w:lineRule="auto"/>
        <w:rPr>
          <w:rStyle w:val="s0"/>
          <w:sz w:val="28"/>
          <w:szCs w:val="28"/>
        </w:rPr>
      </w:pPr>
      <w:r w:rsidRPr="00337D77">
        <w:rPr>
          <w:rStyle w:val="s0"/>
          <w:i/>
          <w:sz w:val="28"/>
          <w:szCs w:val="28"/>
        </w:rPr>
        <w:t>Претензии потребителей и рекламации по качеству препарата принимаются по адресу:</w:t>
      </w:r>
      <w:r w:rsidR="005064E7" w:rsidRPr="00337D77">
        <w:rPr>
          <w:rStyle w:val="s0"/>
          <w:i/>
          <w:sz w:val="28"/>
          <w:szCs w:val="28"/>
        </w:rPr>
        <w:t xml:space="preserve"> </w:t>
      </w:r>
      <w:r w:rsidRPr="00337D77">
        <w:rPr>
          <w:rStyle w:val="s0"/>
          <w:sz w:val="28"/>
          <w:szCs w:val="28"/>
        </w:rPr>
        <w:t xml:space="preserve">ООО «Альфа </w:t>
      </w:r>
      <w:r w:rsidRPr="00337D77">
        <w:rPr>
          <w:szCs w:val="28"/>
        </w:rPr>
        <w:t>Вассерман</w:t>
      </w:r>
      <w:r w:rsidR="005064E7" w:rsidRPr="00337D77">
        <w:rPr>
          <w:szCs w:val="28"/>
        </w:rPr>
        <w:t>н</w:t>
      </w:r>
      <w:r w:rsidRPr="00337D77">
        <w:rPr>
          <w:szCs w:val="28"/>
        </w:rPr>
        <w:t>», Россия</w:t>
      </w:r>
    </w:p>
    <w:p w:rsidR="00603DDA" w:rsidRPr="00337D77" w:rsidRDefault="00603DDA" w:rsidP="00EC3F47">
      <w:pPr>
        <w:pStyle w:val="20"/>
        <w:spacing w:line="240" w:lineRule="auto"/>
        <w:rPr>
          <w:rStyle w:val="s0"/>
          <w:sz w:val="28"/>
          <w:szCs w:val="28"/>
        </w:rPr>
      </w:pPr>
      <w:r w:rsidRPr="00337D77">
        <w:rPr>
          <w:rStyle w:val="s0"/>
          <w:sz w:val="28"/>
          <w:szCs w:val="28"/>
        </w:rPr>
        <w:t>115114 Россия, г. Москва, Дербене</w:t>
      </w:r>
      <w:r w:rsidR="005064E7" w:rsidRPr="00337D77">
        <w:rPr>
          <w:rStyle w:val="s0"/>
          <w:sz w:val="28"/>
          <w:szCs w:val="28"/>
        </w:rPr>
        <w:t>в</w:t>
      </w:r>
      <w:r w:rsidRPr="00337D77">
        <w:rPr>
          <w:rStyle w:val="s0"/>
          <w:sz w:val="28"/>
          <w:szCs w:val="28"/>
        </w:rPr>
        <w:t>ская наб., д.11А, сектор 2, офис 74</w:t>
      </w:r>
    </w:p>
    <w:p w:rsidR="00603DDA" w:rsidRPr="00337D77" w:rsidRDefault="00603DDA" w:rsidP="00EC3F47">
      <w:pPr>
        <w:pStyle w:val="20"/>
        <w:spacing w:line="240" w:lineRule="auto"/>
        <w:rPr>
          <w:rStyle w:val="s0"/>
          <w:sz w:val="28"/>
          <w:szCs w:val="28"/>
        </w:rPr>
      </w:pPr>
      <w:r w:rsidRPr="00337D77">
        <w:rPr>
          <w:rStyle w:val="s0"/>
          <w:sz w:val="28"/>
          <w:szCs w:val="28"/>
        </w:rPr>
        <w:t>Тел: +7</w:t>
      </w:r>
      <w:r w:rsidR="005064E7" w:rsidRPr="00337D77">
        <w:rPr>
          <w:rStyle w:val="s0"/>
          <w:sz w:val="28"/>
          <w:szCs w:val="28"/>
        </w:rPr>
        <w:t>-</w:t>
      </w:r>
      <w:r w:rsidRPr="00337D77">
        <w:rPr>
          <w:rStyle w:val="s0"/>
          <w:sz w:val="28"/>
          <w:szCs w:val="28"/>
        </w:rPr>
        <w:t>495</w:t>
      </w:r>
      <w:r w:rsidR="005064E7" w:rsidRPr="00337D77">
        <w:rPr>
          <w:rStyle w:val="s0"/>
          <w:sz w:val="28"/>
          <w:szCs w:val="28"/>
        </w:rPr>
        <w:t>-913</w:t>
      </w:r>
      <w:r w:rsidRPr="00337D77">
        <w:rPr>
          <w:rStyle w:val="s0"/>
          <w:sz w:val="28"/>
          <w:szCs w:val="28"/>
        </w:rPr>
        <w:t>-</w:t>
      </w:r>
      <w:r w:rsidR="005064E7" w:rsidRPr="00337D77">
        <w:rPr>
          <w:rStyle w:val="s0"/>
          <w:sz w:val="28"/>
          <w:szCs w:val="28"/>
        </w:rPr>
        <w:t>68-39</w:t>
      </w:r>
      <w:r w:rsidRPr="00337D77">
        <w:rPr>
          <w:rStyle w:val="s0"/>
          <w:sz w:val="28"/>
          <w:szCs w:val="28"/>
        </w:rPr>
        <w:t xml:space="preserve">, эл. адрес: </w:t>
      </w:r>
      <w:hyperlink r:id="rId7" w:history="1">
        <w:r w:rsidR="005064E7" w:rsidRPr="00337D77">
          <w:rPr>
            <w:rStyle w:val="ab"/>
            <w:szCs w:val="28"/>
          </w:rPr>
          <w:t>info@alfawassermann.ru</w:t>
        </w:r>
      </w:hyperlink>
      <w:r w:rsidRPr="00337D77">
        <w:rPr>
          <w:rStyle w:val="s0"/>
          <w:sz w:val="28"/>
          <w:szCs w:val="28"/>
        </w:rPr>
        <w:t xml:space="preserve"> </w:t>
      </w:r>
    </w:p>
    <w:p w:rsidR="00FF7E9B" w:rsidRDefault="00FF7E9B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C87A57" w:rsidRPr="00337D77" w:rsidRDefault="00C87A57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5064E7" w:rsidRPr="00337D77" w:rsidRDefault="005064E7" w:rsidP="00EC3F47">
      <w:pPr>
        <w:pStyle w:val="20"/>
        <w:spacing w:line="240" w:lineRule="auto"/>
        <w:rPr>
          <w:rStyle w:val="s0"/>
          <w:sz w:val="28"/>
          <w:szCs w:val="28"/>
        </w:rPr>
      </w:pPr>
    </w:p>
    <w:p w:rsidR="00EE700D" w:rsidRPr="00337D77" w:rsidRDefault="00603DDA" w:rsidP="00EC3F47">
      <w:pPr>
        <w:pStyle w:val="20"/>
        <w:spacing w:line="240" w:lineRule="auto"/>
        <w:rPr>
          <w:snapToGrid w:val="0"/>
          <w:szCs w:val="28"/>
        </w:rPr>
      </w:pPr>
      <w:r w:rsidRPr="00337D77">
        <w:rPr>
          <w:rStyle w:val="s0"/>
          <w:sz w:val="28"/>
          <w:szCs w:val="28"/>
        </w:rPr>
        <w:t>Представитель фирмы</w:t>
      </w:r>
      <w:r w:rsidRPr="00337D77">
        <w:rPr>
          <w:rStyle w:val="s0"/>
          <w:sz w:val="28"/>
          <w:szCs w:val="28"/>
        </w:rPr>
        <w:tab/>
      </w:r>
      <w:r w:rsidRPr="00337D77">
        <w:rPr>
          <w:rStyle w:val="s0"/>
          <w:sz w:val="28"/>
          <w:szCs w:val="28"/>
        </w:rPr>
        <w:tab/>
      </w:r>
      <w:r w:rsidRPr="00337D77">
        <w:rPr>
          <w:rStyle w:val="s0"/>
          <w:sz w:val="28"/>
          <w:szCs w:val="28"/>
        </w:rPr>
        <w:tab/>
      </w:r>
      <w:r w:rsidRPr="00337D77">
        <w:rPr>
          <w:rStyle w:val="s0"/>
          <w:sz w:val="28"/>
          <w:szCs w:val="28"/>
        </w:rPr>
        <w:tab/>
      </w:r>
      <w:r w:rsidRPr="00337D77">
        <w:rPr>
          <w:rStyle w:val="s0"/>
          <w:sz w:val="28"/>
          <w:szCs w:val="28"/>
        </w:rPr>
        <w:tab/>
      </w:r>
      <w:r w:rsidRPr="00337D77">
        <w:rPr>
          <w:rStyle w:val="s0"/>
          <w:sz w:val="28"/>
          <w:szCs w:val="28"/>
        </w:rPr>
        <w:tab/>
      </w:r>
      <w:r w:rsidR="005E041D" w:rsidRPr="00337D77">
        <w:rPr>
          <w:rStyle w:val="s0"/>
          <w:sz w:val="28"/>
          <w:szCs w:val="28"/>
        </w:rPr>
        <w:t>Лаптева</w:t>
      </w:r>
      <w:r w:rsidRPr="00337D77">
        <w:rPr>
          <w:rStyle w:val="s0"/>
          <w:sz w:val="28"/>
          <w:szCs w:val="28"/>
        </w:rPr>
        <w:t xml:space="preserve"> </w:t>
      </w:r>
      <w:r w:rsidR="005E041D" w:rsidRPr="00337D77">
        <w:rPr>
          <w:rStyle w:val="s0"/>
          <w:sz w:val="28"/>
          <w:szCs w:val="28"/>
        </w:rPr>
        <w:t>Б</w:t>
      </w:r>
      <w:r w:rsidRPr="00337D77">
        <w:rPr>
          <w:rStyle w:val="s0"/>
          <w:sz w:val="28"/>
          <w:szCs w:val="28"/>
        </w:rPr>
        <w:t>.</w:t>
      </w:r>
      <w:r w:rsidR="005E041D" w:rsidRPr="00337D77">
        <w:rPr>
          <w:rStyle w:val="s0"/>
          <w:sz w:val="28"/>
          <w:szCs w:val="28"/>
        </w:rPr>
        <w:t>Н</w:t>
      </w:r>
      <w:r w:rsidRPr="00337D77">
        <w:rPr>
          <w:rStyle w:val="s0"/>
          <w:sz w:val="28"/>
          <w:szCs w:val="28"/>
        </w:rPr>
        <w:t>.</w:t>
      </w:r>
    </w:p>
    <w:sectPr w:rsidR="00EE700D" w:rsidRPr="00337D77" w:rsidSect="0012010D">
      <w:footerReference w:type="even" r:id="rId8"/>
      <w:footerReference w:type="default" r:id="rId9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76" w:rsidRDefault="00FD1D76">
      <w:r>
        <w:separator/>
      </w:r>
    </w:p>
  </w:endnote>
  <w:endnote w:type="continuationSeparator" w:id="0">
    <w:p w:rsidR="00FD1D76" w:rsidRDefault="00F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0D" w:rsidRDefault="00EE70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E700D" w:rsidRDefault="00EE700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0D" w:rsidRPr="0012010D" w:rsidRDefault="00EE700D" w:rsidP="0012010D">
    <w:pPr>
      <w:pStyle w:val="a7"/>
      <w:framePr w:wrap="around" w:vAnchor="text" w:hAnchor="page" w:x="11056" w:y="44"/>
      <w:rPr>
        <w:rStyle w:val="a8"/>
        <w:sz w:val="22"/>
        <w:szCs w:val="22"/>
      </w:rPr>
    </w:pPr>
    <w:r w:rsidRPr="0012010D">
      <w:rPr>
        <w:rStyle w:val="a8"/>
        <w:sz w:val="22"/>
        <w:szCs w:val="22"/>
      </w:rPr>
      <w:fldChar w:fldCharType="begin"/>
    </w:r>
    <w:r w:rsidRPr="0012010D">
      <w:rPr>
        <w:rStyle w:val="a8"/>
        <w:sz w:val="22"/>
        <w:szCs w:val="22"/>
      </w:rPr>
      <w:instrText xml:space="preserve">PAGE  </w:instrText>
    </w:r>
    <w:r w:rsidRPr="0012010D">
      <w:rPr>
        <w:rStyle w:val="a8"/>
        <w:sz w:val="22"/>
        <w:szCs w:val="22"/>
      </w:rPr>
      <w:fldChar w:fldCharType="separate"/>
    </w:r>
    <w:r w:rsidR="004D2D04">
      <w:rPr>
        <w:rStyle w:val="a8"/>
        <w:noProof/>
        <w:sz w:val="22"/>
        <w:szCs w:val="22"/>
      </w:rPr>
      <w:t>5</w:t>
    </w:r>
    <w:r w:rsidRPr="0012010D">
      <w:rPr>
        <w:rStyle w:val="a8"/>
        <w:sz w:val="22"/>
        <w:szCs w:val="22"/>
      </w:rPr>
      <w:fldChar w:fldCharType="end"/>
    </w:r>
  </w:p>
  <w:p w:rsidR="00EE700D" w:rsidRDefault="00EE70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76" w:rsidRDefault="00FD1D76">
      <w:r>
        <w:separator/>
      </w:r>
    </w:p>
  </w:footnote>
  <w:footnote w:type="continuationSeparator" w:id="0">
    <w:p w:rsidR="00FD1D76" w:rsidRDefault="00FD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B1AB6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7652E2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EC84FBB"/>
    <w:multiLevelType w:val="singleLevel"/>
    <w:tmpl w:val="6DD4B86A"/>
    <w:lvl w:ilvl="0">
      <w:start w:val="6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1B652FA3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23344CE6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2B7901E2"/>
    <w:multiLevelType w:val="singleLevel"/>
    <w:tmpl w:val="05B65CE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04206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C94EFD"/>
    <w:multiLevelType w:val="singleLevel"/>
    <w:tmpl w:val="EAD6C00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CE4703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1B087D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3ADD6D49"/>
    <w:multiLevelType w:val="singleLevel"/>
    <w:tmpl w:val="96E8B6B6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045725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43CC1E75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46822D23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4811739A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09409DE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624BAE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5CC823B9"/>
    <w:multiLevelType w:val="singleLevel"/>
    <w:tmpl w:val="05B65CE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DDF1077"/>
    <w:multiLevelType w:val="singleLevel"/>
    <w:tmpl w:val="EAD6C00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F64173"/>
    <w:multiLevelType w:val="singleLevel"/>
    <w:tmpl w:val="20CC8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DB114A"/>
    <w:multiLevelType w:val="singleLevel"/>
    <w:tmpl w:val="0214F4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B05EB2"/>
    <w:multiLevelType w:val="singleLevel"/>
    <w:tmpl w:val="05B65CE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97974EA"/>
    <w:multiLevelType w:val="singleLevel"/>
    <w:tmpl w:val="4350E986"/>
    <w:lvl w:ilvl="0">
      <w:start w:val="8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2"/>
  </w:num>
  <w:num w:numId="6">
    <w:abstractNumId w:val="23"/>
  </w:num>
  <w:num w:numId="7">
    <w:abstractNumId w:val="12"/>
  </w:num>
  <w:num w:numId="8">
    <w:abstractNumId w:val="14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7"/>
  </w:num>
  <w:num w:numId="14">
    <w:abstractNumId w:val="5"/>
  </w:num>
  <w:num w:numId="15">
    <w:abstractNumId w:val="22"/>
  </w:num>
  <w:num w:numId="16">
    <w:abstractNumId w:val="6"/>
  </w:num>
  <w:num w:numId="17">
    <w:abstractNumId w:val="18"/>
  </w:num>
  <w:num w:numId="18">
    <w:abstractNumId w:val="8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0D"/>
    <w:rsid w:val="000466F8"/>
    <w:rsid w:val="000A3BBC"/>
    <w:rsid w:val="000A4D97"/>
    <w:rsid w:val="0012010D"/>
    <w:rsid w:val="00124B9A"/>
    <w:rsid w:val="002505DF"/>
    <w:rsid w:val="00287969"/>
    <w:rsid w:val="002C3BC0"/>
    <w:rsid w:val="00337D77"/>
    <w:rsid w:val="00347702"/>
    <w:rsid w:val="003601AA"/>
    <w:rsid w:val="00410EBE"/>
    <w:rsid w:val="004150F0"/>
    <w:rsid w:val="004313A5"/>
    <w:rsid w:val="00497E43"/>
    <w:rsid w:val="004D2D04"/>
    <w:rsid w:val="005064E7"/>
    <w:rsid w:val="005820B3"/>
    <w:rsid w:val="00593E43"/>
    <w:rsid w:val="005C4E50"/>
    <w:rsid w:val="005E041D"/>
    <w:rsid w:val="005E2B58"/>
    <w:rsid w:val="00603DDA"/>
    <w:rsid w:val="006442B1"/>
    <w:rsid w:val="006975AC"/>
    <w:rsid w:val="006B269C"/>
    <w:rsid w:val="006C79B5"/>
    <w:rsid w:val="00744C35"/>
    <w:rsid w:val="00787D89"/>
    <w:rsid w:val="00866F39"/>
    <w:rsid w:val="008D02C2"/>
    <w:rsid w:val="008D0A35"/>
    <w:rsid w:val="008E68DC"/>
    <w:rsid w:val="00945B92"/>
    <w:rsid w:val="00973CE0"/>
    <w:rsid w:val="009B01FC"/>
    <w:rsid w:val="009C5253"/>
    <w:rsid w:val="009E5C96"/>
    <w:rsid w:val="009F770F"/>
    <w:rsid w:val="00A17D28"/>
    <w:rsid w:val="00AF2C54"/>
    <w:rsid w:val="00BB5683"/>
    <w:rsid w:val="00BE41FF"/>
    <w:rsid w:val="00C654ED"/>
    <w:rsid w:val="00C87A57"/>
    <w:rsid w:val="00CF6621"/>
    <w:rsid w:val="00D97228"/>
    <w:rsid w:val="00DA253C"/>
    <w:rsid w:val="00DC2FBA"/>
    <w:rsid w:val="00DC5B65"/>
    <w:rsid w:val="00DF7A41"/>
    <w:rsid w:val="00E15CF4"/>
    <w:rsid w:val="00EC1D09"/>
    <w:rsid w:val="00EC3F47"/>
    <w:rsid w:val="00ED75D9"/>
    <w:rsid w:val="00EE700D"/>
    <w:rsid w:val="00F976DC"/>
    <w:rsid w:val="00FB1CCD"/>
    <w:rsid w:val="00FD1D76"/>
    <w:rsid w:val="00FE0E7D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C7EC-CB2F-43E5-99E3-051EEAB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AU"/>
    </w:rPr>
  </w:style>
  <w:style w:type="paragraph" w:styleId="1">
    <w:name w:val="heading 1"/>
    <w:basedOn w:val="a"/>
    <w:next w:val="a"/>
    <w:qFormat/>
    <w:pPr>
      <w:keepNext/>
      <w:spacing w:before="280"/>
      <w:jc w:val="both"/>
      <w:outlineLvl w:val="0"/>
    </w:pPr>
    <w:rPr>
      <w:rFonts w:ascii="Courier New" w:hAnsi="Courier New"/>
      <w:b/>
      <w:snapToGrid w:val="0"/>
      <w:u w:val="single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mallCaps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ind w:left="5040"/>
      <w:outlineLvl w:val="3"/>
    </w:pPr>
    <w:rPr>
      <w:b/>
      <w:lang w:val="ru-RU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4"/>
    </w:pPr>
    <w:rPr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8"/>
      <w:lang w:val="ru-RU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pPr>
      <w:keepNext/>
      <w:tabs>
        <w:tab w:val="center" w:pos="-2127"/>
      </w:tabs>
      <w:outlineLvl w:val="8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both"/>
    </w:pPr>
    <w:rPr>
      <w:rFonts w:ascii="Arial" w:hAnsi="Arial"/>
      <w:b/>
      <w:noProof/>
      <w:sz w:val="24"/>
    </w:rPr>
  </w:style>
  <w:style w:type="paragraph" w:styleId="20">
    <w:name w:val="Body Tex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38"/>
      <w:jc w:val="both"/>
    </w:pPr>
    <w:rPr>
      <w:color w:val="000000"/>
      <w:spacing w:val="-6"/>
      <w:sz w:val="28"/>
      <w:lang w:val="ru-RU"/>
    </w:rPr>
  </w:style>
  <w:style w:type="paragraph" w:styleId="a3">
    <w:name w:val="Body Text"/>
    <w:basedOn w:val="a"/>
    <w:semiHidden/>
    <w:pPr>
      <w:spacing w:before="200"/>
      <w:jc w:val="both"/>
    </w:pPr>
    <w:rPr>
      <w:rFonts w:ascii="Courier New" w:hAnsi="Courier New"/>
      <w:i/>
      <w:snapToGrid w:val="0"/>
      <w:lang w:val="ru-RU"/>
    </w:rPr>
  </w:style>
  <w:style w:type="paragraph" w:styleId="30">
    <w:name w:val="Body Text 3"/>
    <w:basedOn w:val="a"/>
    <w:semiHidden/>
    <w:rPr>
      <w:b/>
      <w:u w:val="single"/>
      <w:lang w:val="ru-RU"/>
    </w:rPr>
  </w:style>
  <w:style w:type="paragraph" w:styleId="a4">
    <w:name w:val="Body Text Indent"/>
    <w:basedOn w:val="a"/>
    <w:semiHidden/>
    <w:pPr>
      <w:ind w:left="33"/>
    </w:pPr>
    <w:rPr>
      <w:sz w:val="28"/>
      <w:lang w:val="ru-RU"/>
    </w:rPr>
  </w:style>
  <w:style w:type="paragraph" w:styleId="a5">
    <w:name w:val="Title"/>
    <w:basedOn w:val="a"/>
    <w:qFormat/>
    <w:pPr>
      <w:jc w:val="center"/>
    </w:pPr>
    <w:rPr>
      <w:rFonts w:ascii="SchoolBook" w:hAnsi="SchoolBook"/>
      <w:b/>
      <w:lang w:val="ru-RU"/>
    </w:rPr>
  </w:style>
  <w:style w:type="paragraph" w:styleId="21">
    <w:name w:val="Body Text Indent 2"/>
    <w:basedOn w:val="a"/>
    <w:semiHidden/>
    <w:pPr>
      <w:ind w:left="1134"/>
    </w:pPr>
    <w:rPr>
      <w:sz w:val="28"/>
      <w:lang w:val="ru-RU"/>
    </w:rPr>
  </w:style>
  <w:style w:type="paragraph" w:styleId="a6">
    <w:name w:val="Subtitle"/>
    <w:basedOn w:val="a"/>
    <w:qFormat/>
    <w:pPr>
      <w:jc w:val="both"/>
    </w:pPr>
    <w:rPr>
      <w:b/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20"/>
      <w:jc w:val="both"/>
    </w:pPr>
    <w:rPr>
      <w:sz w:val="28"/>
      <w:lang w:val="ru-RU"/>
    </w:rPr>
  </w:style>
  <w:style w:type="paragraph" w:styleId="a9">
    <w:name w:val="header"/>
    <w:basedOn w:val="a"/>
    <w:link w:val="aa"/>
    <w:uiPriority w:val="99"/>
    <w:unhideWhenUsed/>
    <w:rsid w:val="00120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2010D"/>
    <w:rPr>
      <w:sz w:val="24"/>
      <w:lang w:val="en-AU"/>
    </w:rPr>
  </w:style>
  <w:style w:type="character" w:styleId="ab">
    <w:name w:val="Hyperlink"/>
    <w:rsid w:val="00787D89"/>
    <w:rPr>
      <w:color w:val="0000FF"/>
      <w:u w:val="single"/>
    </w:rPr>
  </w:style>
  <w:style w:type="character" w:customStyle="1" w:styleId="s0">
    <w:name w:val="s0"/>
    <w:rsid w:val="00787D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annotation text"/>
    <w:basedOn w:val="a"/>
    <w:link w:val="ad"/>
    <w:uiPriority w:val="99"/>
    <w:semiHidden/>
    <w:unhideWhenUsed/>
    <w:rsid w:val="005064E7"/>
    <w:rPr>
      <w:sz w:val="20"/>
    </w:rPr>
  </w:style>
  <w:style w:type="character" w:customStyle="1" w:styleId="ad">
    <w:name w:val="Текст примечания Знак"/>
    <w:link w:val="ac"/>
    <w:uiPriority w:val="99"/>
    <w:semiHidden/>
    <w:rsid w:val="005064E7"/>
    <w:rPr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64E7"/>
    <w:pPr>
      <w:spacing w:after="200"/>
    </w:pPr>
    <w:rPr>
      <w:rFonts w:eastAsia="Calibri"/>
      <w:b/>
      <w:bCs/>
      <w:lang w:val="ru-RU" w:eastAsia="en-US"/>
    </w:rPr>
  </w:style>
  <w:style w:type="character" w:customStyle="1" w:styleId="af">
    <w:name w:val="Тема примечания Знак"/>
    <w:link w:val="ae"/>
    <w:uiPriority w:val="99"/>
    <w:semiHidden/>
    <w:rsid w:val="005064E7"/>
    <w:rPr>
      <w:rFonts w:eastAsia="Calibri"/>
      <w:b/>
      <w:bCs/>
      <w:lang w:val="en-AU" w:eastAsia="en-US"/>
    </w:rPr>
  </w:style>
  <w:style w:type="paragraph" w:styleId="af0">
    <w:name w:val="List Paragraph"/>
    <w:basedOn w:val="a"/>
    <w:uiPriority w:val="34"/>
    <w:qFormat/>
    <w:rsid w:val="00497E43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lfawasserma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1114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CSC_MOSCOW</Company>
  <LinksUpToDate>false</LinksUpToDate>
  <CharactersWithSpaces>9507</CharactersWithSpaces>
  <SharedDoc>false</SharedDoc>
  <HLinks>
    <vt:vector size="6" baseType="variant">
      <vt:variant>
        <vt:i4>3997696</vt:i4>
      </vt:variant>
      <vt:variant>
        <vt:i4>0</vt:i4>
      </vt:variant>
      <vt:variant>
        <vt:i4>0</vt:i4>
      </vt:variant>
      <vt:variant>
        <vt:i4>5</vt:i4>
      </vt:variant>
      <vt:variant>
        <vt:lpwstr>mailto:info@alfawassermann.ru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subject/>
  <dc:creator>GARTSEVA</dc:creator>
  <cp:keywords/>
  <cp:lastModifiedBy>Lapteva Bella</cp:lastModifiedBy>
  <cp:revision>15</cp:revision>
  <cp:lastPrinted>2007-07-05T11:51:00Z</cp:lastPrinted>
  <dcterms:created xsi:type="dcterms:W3CDTF">2016-09-27T12:27:00Z</dcterms:created>
  <dcterms:modified xsi:type="dcterms:W3CDTF">2017-01-24T09:38:00Z</dcterms:modified>
</cp:coreProperties>
</file>